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7"/>
        <w:gridCol w:w="5219"/>
      </w:tblGrid>
      <w:tr>
        <w:trPr>
          <w:cantSplit/>
        </w:trPr>
        <w:tc>
          <w:tcPr>
            <w:tcW w:type="dxa" w:w="26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В</w:t>
            </w:r>
          </w:p>
        </w:tc>
        <w:tc>
          <w:tcPr>
            <w:tcW w:type="dxa" w:w="521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Богородский городской суд Нижегородской области</w:t>
            </w:r>
          </w:p>
        </w:tc>
      </w:tr>
      <w:tr>
        <w:trPr>
          <w:cantSplit/>
        </w:trPr>
        <w:tc>
          <w:tcPr>
            <w:tcW w:type="dxa" w:w="26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2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районный (городской) суд по месту нахождения участка</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607600, Нижегородская обл., г. Богородск, ул. Ванцетти, д. 1</w:t>
            </w: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адрес суда</w:t>
            </w:r>
          </w:p>
        </w:tc>
      </w:tr>
    </w:tbl>
    <w:p>
      <w:pPr>
        <w:keepNext/>
        <w:keepLines/>
        <w:spacing w:after="0" w:before="120"/>
        <w:ind w:left="3929"/>
      </w:pPr>
      <w:r>
        <w:rPr>
          <w:rFonts w:ascii="Times New Roman" w:cs="Times New Roman" w:eastAsia="Times New Roman" w:hAnsi="Times New Roman"/>
          <w:sz w:val="24"/>
          <w:szCs w:val="24"/>
        </w:rPr>
        <w:t xml:space="preserve">Истец:</w:t>
      </w:r>
    </w:p>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Некрасова Людмила Ивановна</w:t>
            </w: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имя, отчество полностью</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14 июня 1968 г., г. Горький</w:t>
            </w: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дата и место рождения</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СНИЛС 112-233-445 90</w:t>
            </w: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СНИЛС, ИНН или серия и номер паспорта</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603094, г. Нижний Новгород, ул. Июльских Дней, д. 21, кв. 8</w:t>
            </w: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адрес места жительства</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45"/>
        <w:gridCol w:w="4441"/>
      </w:tblGrid>
      <w:tr>
        <w:trPr>
          <w:cantSplit/>
        </w:trPr>
        <w:tc>
          <w:tcPr>
            <w:tcW w:type="dxa" w:w="104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телефон:</w:t>
            </w:r>
          </w:p>
        </w:tc>
        <w:tc>
          <w:tcPr>
            <w:tcW w:type="dxa" w:w="444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+7 (831) 265-41-07</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30"/>
        <w:gridCol w:w="4356"/>
      </w:tblGrid>
      <w:tr>
        <w:trPr>
          <w:cantSplit/>
        </w:trPr>
        <w:tc>
          <w:tcPr>
            <w:tcW w:type="dxa" w:w="113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эл. почта:</w:t>
            </w:r>
          </w:p>
        </w:tc>
        <w:tc>
          <w:tcPr>
            <w:tcW w:type="dxa" w:w="435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nekrasova.li@example.ru</w:t>
            </w:r>
          </w:p>
        </w:tc>
      </w:tr>
    </w:tbl>
    <w:p>
      <w:pPr>
        <w:keepNext/>
        <w:keepLines/>
        <w:spacing w:after="0" w:before="120"/>
        <w:ind w:left="3929"/>
      </w:pPr>
      <w:r>
        <w:rPr>
          <w:rFonts w:ascii="Times New Roman" w:cs="Times New Roman" w:eastAsia="Times New Roman" w:hAnsi="Times New Roman"/>
          <w:sz w:val="24"/>
          <w:szCs w:val="24"/>
        </w:rPr>
        <w:t xml:space="preserve">Ответчик:</w:t>
      </w:r>
    </w:p>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Ремизов Андрей Валентинович</w:t>
            </w: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правообладатель смежного участка — ФИО полностью</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4"/>
        <w:gridCol w:w="2952"/>
      </w:tblGrid>
      <w:tr>
        <w:trPr>
          <w:cantSplit/>
        </w:trPr>
        <w:tc>
          <w:tcPr>
            <w:tcW w:type="dxa" w:w="25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дата и место рождения</w:t>
            </w:r>
          </w:p>
        </w:tc>
        <w:tc>
          <w:tcPr>
            <w:tcW w:type="dxa" w:w="295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истцу неизвестны</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606504, Нижегородская обл., Богородский м.о., д. Кудрёшки, ул. Садовая, д. 9</w:t>
            </w: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адрес места жительства</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34"/>
        <w:gridCol w:w="3752"/>
      </w:tblGrid>
      <w:tr>
        <w:trPr>
          <w:cantSplit/>
        </w:trPr>
        <w:tc>
          <w:tcPr>
            <w:tcW w:type="dxa" w:w="17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идентификатор</w:t>
            </w:r>
          </w:p>
        </w:tc>
        <w:tc>
          <w:tcPr>
            <w:tcW w:type="dxa" w:w="375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истцу неизвестен</w:t>
            </w:r>
          </w:p>
        </w:tc>
      </w:tr>
      <w:tr>
        <w:trPr>
          <w:cantSplit/>
        </w:trPr>
        <w:tc>
          <w:tcPr>
            <w:tcW w:type="dxa" w:w="173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375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СНИЛС, ИНН, паспорт или «неизвестен»</w:t>
            </w:r>
          </w:p>
        </w:tc>
      </w:tr>
    </w:tbl>
    <w:p>
      <w:pPr>
        <w:keepNext/>
        <w:keepLines/>
        <w:spacing w:after="0" w:before="120"/>
        <w:ind w:left="3929"/>
      </w:pPr>
      <w:r>
        <w:rPr>
          <w:rFonts w:ascii="Times New Roman" w:cs="Times New Roman" w:eastAsia="Times New Roman" w:hAnsi="Times New Roman"/>
          <w:sz w:val="24"/>
          <w:szCs w:val="24"/>
        </w:rPr>
        <w:t xml:space="preserve">Третье лицо: Управление Федеральной службы государственной регистрации, кадастра и картографии</w:t>
      </w:r>
    </w:p>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9"/>
        <w:gridCol w:w="5127"/>
      </w:tblGrid>
      <w:tr>
        <w:trPr>
          <w:cantSplit/>
        </w:trPr>
        <w:tc>
          <w:tcPr>
            <w:tcW w:type="dxa" w:w="35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по</w:t>
            </w:r>
          </w:p>
        </w:tc>
        <w:tc>
          <w:tcPr>
            <w:tcW w:type="dxa" w:w="512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Нижегородской области</w:t>
            </w:r>
          </w:p>
        </w:tc>
      </w:tr>
      <w:tr>
        <w:trPr>
          <w:cantSplit/>
        </w:trPr>
        <w:tc>
          <w:tcPr>
            <w:tcW w:type="dxa" w:w="35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12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субъект Российской Федерации</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603950, г. Нижний Новгород, ул. Малая Ямская, д. 78</w:t>
            </w: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адрес</w:t>
            </w:r>
          </w:p>
        </w:tc>
      </w:tr>
    </w:tbl>
    <w:p>
      <w:pPr>
        <w:keepNext/>
        <w:keepLines/>
        <w:spacing w:after="0" w:before="120"/>
        <w:ind w:left="3929"/>
      </w:pPr>
      <w:r>
        <w:rPr>
          <w:rFonts w:ascii="Times New Roman" w:cs="Times New Roman" w:eastAsia="Times New Roman" w:hAnsi="Times New Roman"/>
          <w:sz w:val="24"/>
          <w:szCs w:val="24"/>
        </w:rPr>
        <w:t xml:space="preserve">Госпошлина: 3 000 руб.</w:t>
      </w:r>
    </w:p>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62"/>
        <w:gridCol w:w="324"/>
      </w:tblGrid>
      <w:tr>
        <w:trPr>
          <w:cantSplit/>
        </w:trPr>
        <w:tc>
          <w:tcPr>
            <w:tcW w:type="dxa" w:w="516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val="false"/>
              <w:keepLines/>
              <w:spacing w:after="0" w:before="120"/>
              <w:jc w:val="left"/>
            </w:pPr>
            <w:r>
              <w:rPr>
                <w:rFonts w:ascii="Times New Roman" w:cs="Times New Roman" w:eastAsia="Times New Roman" w:hAnsi="Times New Roman"/>
                <w:i/>
                <w:iCs/>
                <w:color w:val="555555"/>
                <w:sz w:val="18"/>
                <w:szCs w:val="18"/>
              </w:rPr>
              <w:t xml:space="preserve">требование не подлежит оценке (подп. 3 п. 1 ст. 333.19 НК РФ)</w:t>
            </w:r>
          </w:p>
        </w:tc>
        <w:tc>
          <w:tcPr>
            <w:tcW w:type="dxa" w:w="32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val="false"/>
              <w:keepLines/>
              <w:spacing w:after="0" w:before="120"/>
              <w:jc w:val="left"/>
            </w:pPr>
          </w:p>
        </w:tc>
      </w:tr>
    </w:tbl>
    <w:p>
      <w:pPr>
        <w:spacing w:after="0" w:before="0" w:line="360" w:lineRule="exact"/>
      </w:pPr>
    </w:p>
    <w:p>
      <w:pPr>
        <w:keepNext/>
        <w:spacing w:after="0" w:before="0"/>
        <w:jc w:val="center"/>
      </w:pPr>
      <w:r>
        <w:rPr>
          <w:rFonts w:ascii="Times New Roman" w:cs="Times New Roman" w:eastAsia="Times New Roman" w:hAnsi="Times New Roman"/>
          <w:b/>
          <w:bCs/>
          <w:sz w:val="28"/>
          <w:szCs w:val="28"/>
        </w:rPr>
        <w:t xml:space="preserve">ИСКОВОЕ ЗАЯВЛЕНИЕ</w:t>
      </w:r>
    </w:p>
    <w:p>
      <w:pPr>
        <w:keepNext/>
        <w:spacing w:after="240"/>
        <w:jc w:val="center"/>
      </w:pPr>
      <w:r>
        <w:rPr>
          <w:rFonts w:ascii="Times New Roman" w:cs="Times New Roman" w:eastAsia="Times New Roman" w:hAnsi="Times New Roman"/>
          <w:sz w:val="24"/>
          <w:szCs w:val="24"/>
        </w:rPr>
        <w:t xml:space="preserve">об установлении границ земельного участка</w:t>
      </w:r>
    </w:p>
    <w:p>
      <w:pPr>
        <w:spacing w:after="120" w:before="0"/>
        <w:ind w:firstLine="709"/>
        <w:jc w:val="both"/>
      </w:pPr>
      <w:r>
        <w:rPr>
          <w:rFonts w:ascii="Times New Roman" w:cs="Times New Roman" w:eastAsia="Times New Roman" w:hAnsi="Times New Roman"/>
          <w:sz w:val="24"/>
          <w:szCs w:val="24"/>
        </w:rPr>
        <w:t xml:space="preserve">Мне на праве собственности принадлежит земельный участок с кадастровым номером 52:24:0040301:118 площадью 600 кв. м, расположенный по адресу: Нижегородская область, Богородский муниципальный округ, садоводческое некоммерческое товарищество «Рассвет», участок № 47. Участок предоставлен мне в собственность постановлением администрации Богородского района Нижегородской области от 12 мая 1994 года № 318; к постановлению приложен план границ участка с указанием длин сторон — 30 м и 20 м. Право собственности зарегистрировано в Едином государственном реестре недвижимости, выписка от 2 февраля 2026 года.</w:t>
      </w:r>
    </w:p>
    <w:p>
      <w:pPr>
        <w:spacing w:after="120" w:before="0"/>
        <w:ind w:firstLine="709"/>
        <w:jc w:val="both"/>
      </w:pPr>
      <w:r>
        <w:rPr>
          <w:rFonts w:ascii="Times New Roman" w:cs="Times New Roman" w:eastAsia="Times New Roman" w:hAnsi="Times New Roman"/>
          <w:sz w:val="24"/>
          <w:szCs w:val="24"/>
        </w:rPr>
        <w:t xml:space="preserve">Границы участка в соответствии с требованиями земельного законодательства не установлены: сведения о координатах характерных точек границ в Едином государственном реестре недвижимости отсутствуют. Для уточнения границ 21 января 2026 года мною заключён договор подряда на выполнение кадастровых работ с кадастровым инженером Зуевым Кириллом Алексеевичем.</w:t>
      </w:r>
    </w:p>
    <w:p>
      <w:pPr>
        <w:spacing w:after="120" w:before="0"/>
        <w:ind w:firstLine="709"/>
        <w:jc w:val="both"/>
      </w:pPr>
      <w:r>
        <w:rPr>
          <w:rFonts w:ascii="Times New Roman" w:cs="Times New Roman" w:eastAsia="Times New Roman" w:hAnsi="Times New Roman"/>
          <w:sz w:val="24"/>
          <w:szCs w:val="24"/>
        </w:rPr>
        <w:t xml:space="preserve">Смежным по отношению к моему является земельный участок с кадастровым номером 52:24:0040301:119 (участок № 48 в том же товариществе), принадлежащий ответчику Ремизову Андрею Валентиновичу. Границы участка ответчика в Едином государственном реестре недвижимости также не установлены. Смежные границы с участком № 46 и с землями общего назначения товарищества согласованы: акт согласования подписан правообладателем участка № 46 и представителем товарищества, уполномоченным решением общего собрания членов товарищества.</w:t>
      </w:r>
    </w:p>
    <w:p>
      <w:pPr>
        <w:spacing w:after="120" w:before="0"/>
        <w:ind w:firstLine="709"/>
        <w:jc w:val="both"/>
      </w:pPr>
      <w:r>
        <w:rPr>
          <w:rFonts w:ascii="Times New Roman" w:cs="Times New Roman" w:eastAsia="Times New Roman" w:hAnsi="Times New Roman"/>
          <w:sz w:val="24"/>
          <w:szCs w:val="24"/>
        </w:rPr>
        <w:t xml:space="preserve">Извещение о проведении собрания о согласовании местоположения границ вручено ответчику под расписку 5 февраля 2026 года, собрание проведено 12 марта 2026 года. Ответчик отказался подписать акт согласования местоположения границ и представил письменные возражения с обоснованием отказа: по его мнению, граница должна проходить по существующему ограждению. Записи о содержании возражений внесены в акт согласования, сами возражения приложены к межевому плану.</w:t>
      </w:r>
    </w:p>
    <w:p>
      <w:pPr>
        <w:spacing w:after="120" w:before="0"/>
        <w:ind w:firstLine="709"/>
        <w:jc w:val="both"/>
      </w:pPr>
      <w:r>
        <w:rPr>
          <w:rFonts w:ascii="Times New Roman" w:cs="Times New Roman" w:eastAsia="Times New Roman" w:hAnsi="Times New Roman"/>
          <w:sz w:val="24"/>
          <w:szCs w:val="24"/>
        </w:rPr>
        <w:t xml:space="preserve">По результатам кадастровых работ 18 марта 2026 года подготовлен межевой план. Местоположение границ определено по сведениям плана границ, приложенного к постановлению от 12 мая 1994 года № 318, то есть по документу, подтверждающему право на земельный участок. Согласно заключению кадастрового инженера ограждение, возведённое ответчиком, смещено вглубь моего участка на 1,3 м на протяжении 30 м; площадь земли, занятой ответчиком, составляет 39 кв. м, площадь участка в моём фактическом пользовании — 561 кв. м вместо 600 кв. м по правоустанавливающему документу.</w:t>
      </w:r>
    </w:p>
    <w:p>
      <w:pPr>
        <w:spacing w:after="120" w:before="0"/>
        <w:ind w:firstLine="709"/>
        <w:jc w:val="both"/>
      </w:pPr>
      <w:r>
        <w:rPr>
          <w:rFonts w:ascii="Times New Roman" w:cs="Times New Roman" w:eastAsia="Times New Roman" w:hAnsi="Times New Roman"/>
          <w:sz w:val="24"/>
          <w:szCs w:val="24"/>
        </w:rPr>
        <w:t xml:space="preserve">20 апреля 2026 года я направила ответчику предложение перенести ограждение на границу, определённую межевым планом, заказным письмом с описью вложения. Ответ не получен, ограждение не перенесено.</w:t>
      </w:r>
    </w:p>
    <w:p>
      <w:pPr>
        <w:spacing w:after="120" w:before="0"/>
        <w:ind w:firstLine="709"/>
        <w:jc w:val="both"/>
      </w:pPr>
      <w:r>
        <w:rPr>
          <w:rFonts w:ascii="Times New Roman" w:cs="Times New Roman" w:eastAsia="Times New Roman" w:hAnsi="Times New Roman"/>
          <w:sz w:val="24"/>
          <w:szCs w:val="24"/>
        </w:rPr>
        <w:t xml:space="preserve">В соответствии с частью 8 статьи 22 Федерального закона от 13 июля 2015 года № 218-ФЗ «О государственной регистрации недвижимости» местоположение границ земельного участка устанавливается посредством определения координат характерных точек таких границ. Согласно части 1.1 статьи 43 того же Федерального закона при уточнении границ их местоположение определяется исходя из сведений, содержащихся в документе, подтверждающем право на земельный участок; при отсутствии таких сведений — исходя из сведений, содержащихся в документах, определявших местоположение границ земельного участка при его образовании; и только при отсутствии в этих документах сведений о местоположении границ — исходя из границ, существующих на местности пятнадцать лет и более. План границ, приложенный к постановлению о предоставлении участка, содержит сведения о местоположении границ, поэтому фактическое ограждение ответчика местоположение спорной границы не определяет.</w:t>
      </w:r>
    </w:p>
    <w:p>
      <w:pPr>
        <w:spacing w:after="120" w:before="0"/>
        <w:ind w:firstLine="709"/>
        <w:jc w:val="both"/>
      </w:pPr>
      <w:r>
        <w:rPr>
          <w:rFonts w:ascii="Times New Roman" w:cs="Times New Roman" w:eastAsia="Times New Roman" w:hAnsi="Times New Roman"/>
          <w:sz w:val="24"/>
          <w:szCs w:val="24"/>
        </w:rPr>
        <w:t xml:space="preserve">Согласно части 5 статьи 40 Федерального закона от 24 июля 2007 года № 221-ФЗ «О кадастровой деятельности» споры, не урегулированные в результате согласования местоположения границ, после оформления акта согласования разрешаются в установленном Земельным кодексом Российской Федерации порядке. В силу пункта 1 статьи 64 Земельного кодекса Российской Федерации земельные споры рассматриваются в судебном порядке.</w:t>
      </w:r>
    </w:p>
    <w:p>
      <w:pPr>
        <w:spacing w:after="120" w:before="0"/>
        <w:ind w:firstLine="709"/>
        <w:jc w:val="both"/>
      </w:pPr>
      <w:r>
        <w:rPr>
          <w:rFonts w:ascii="Times New Roman" w:cs="Times New Roman" w:eastAsia="Times New Roman" w:hAnsi="Times New Roman"/>
          <w:sz w:val="24"/>
          <w:szCs w:val="24"/>
        </w:rPr>
        <w:t xml:space="preserve">В соответствии с подпунктом 2 пункта 1 статьи 60 Земельного кодекса Российской Федерации нарушенное право на земельный участок подлежит восстановлению в случае самовольного занятия земельного участка, а согласно подпункту 4 пункта 2 той же статьи действия, нарушающие права на землю, могут быть пресечены путём восстановления положения, существовавшего до нарушения права. На основании статьи 304 Гражданского кодекса Российской Федерации собственник может требовать устранения всяких нарушений его права, хотя бы эти нарушения и не были соединены с лишением владения.</w:t>
      </w:r>
    </w:p>
    <w:p>
      <w:pPr>
        <w:spacing w:after="120" w:before="0"/>
        <w:ind w:firstLine="709"/>
        <w:jc w:val="both"/>
      </w:pPr>
      <w:r>
        <w:rPr>
          <w:rFonts w:ascii="Times New Roman" w:cs="Times New Roman" w:eastAsia="Times New Roman" w:hAnsi="Times New Roman"/>
          <w:sz w:val="24"/>
          <w:szCs w:val="24"/>
        </w:rPr>
        <w:t xml:space="preserve">Иск предъявляется по месту нахождения земельных участков на основании части 1 статьи 30 Гражданского процессуального кодекса Российской Федерации: к искам о правах на недвижимое имущество относятся в том числе иски об установлении границ земельного участка (пункт 2 постановления Пленума Верховного Суда Российской Федерации № 10 и Пленума Высшего Арбитражного Суда Российской Федерации № 22 от 29 апреля 2010 года). Идентификатор ответчика, дата и место его рождения мне неизвестны; прошу истребовать эти сведения в порядке пункта 3 части 2 статьи 131 Гражданского процессуального кодекса Российской Федерации. Государственная пошлина уплачена в размере 3 000 (Три тысячи) руб. 00 коп.</w:t>
      </w:r>
    </w:p>
    <w:p>
      <w:pPr>
        <w:keepNext/>
        <w:keepLines/>
        <w:spacing w:after="120" w:before="240"/>
        <w:jc w:val="center"/>
      </w:pPr>
      <w:r>
        <w:rPr>
          <w:rFonts w:ascii="Times New Roman" w:cs="Times New Roman" w:eastAsia="Times New Roman" w:hAnsi="Times New Roman"/>
          <w:b/>
          <w:bCs/>
          <w:sz w:val="24"/>
          <w:szCs w:val="24"/>
        </w:rPr>
        <w:t xml:space="preserve">ПРОШУ:</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Установить местоположение границ земельного участка с кадастровым номером 52:24:0040301:118, расположенного по адресу: Нижегородская область, Богородский муниципальный округ, садоводческое некоммерческое товарищество «Рассвет», участок № 47, по координатам характерных точек, определённым межевым планом от 18 марта 2026 года, подготовленным кадастровым инженером Зуевым К. А. (система координат МСК-52): н1 — X 512 348,15, Y 2 214 907,63; н2 — X 512 366,15, Y 2 214 931,63; н3 — X 512 350,15, Y 2 214 943,63; н4 — X 512 332,15, Y 2 214 919,63.</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Обязать Ремизова Андрея Валентиновича в течение тридцати дней со дня вступления решения суда в законную силу перенести ограждение, установленное на смежной границе от точки н1 до точки н2, на границу, установленную решением суда.</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Взыскать с Ремизова Андрея Валентиновича в мою пользу расходы по уплате государственной пошлины в размере 3 000 (Три тысячи) руб. 00 коп.</w:t>
      </w:r>
    </w:p>
    <w:p>
      <w:pPr>
        <w:keepNext/>
        <w:spacing w:after="60" w:before="240"/>
        <w:jc w:val="left"/>
      </w:pPr>
      <w:r>
        <w:rPr>
          <w:rFonts w:ascii="Times New Roman" w:cs="Times New Roman" w:eastAsia="Times New Roman" w:hAnsi="Times New Roman"/>
          <w:b/>
          <w:bCs/>
          <w:sz w:val="24"/>
          <w:szCs w:val="24"/>
        </w:rPr>
        <w:t xml:space="preserve">Приложение:</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748"/>
        <w:gridCol w:w="7484"/>
        <w:gridCol w:w="1123"/>
      </w:tblGrid>
      <w:tr>
        <w:trPr>
          <w:cantSplit/>
          <w:tblHeader/>
        </w:trPr>
        <w:tc>
          <w:tcPr>
            <w:tcW w:type="dxa" w:w="748"/>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 п/п</w:t>
            </w:r>
          </w:p>
        </w:tc>
        <w:tc>
          <w:tcPr>
            <w:tcW w:type="dxa" w:w="7484"/>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Документ</w:t>
            </w:r>
          </w:p>
        </w:tc>
        <w:tc>
          <w:tcPr>
            <w:tcW w:type="dxa" w:w="1123"/>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Листов</w:t>
            </w: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1</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Описи вложения и квитанции об отправке копий искового заявления и приложенных документов ответчику и третьему лицу</w:t>
            </w:r>
          </w:p>
        </w:tc>
        <w:tc>
          <w:tcPr>
            <w:tcW w:type="dxa" w:w="1123"/>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4</w:t>
            </w: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2</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Чек об уплате государственной пошлины на сумму 3 000 руб.</w:t>
            </w:r>
          </w:p>
        </w:tc>
        <w:tc>
          <w:tcPr>
            <w:tcW w:type="dxa" w:w="1123"/>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1</w:t>
            </w: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3</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Выписка из ЕГРН на земельный участок с кадастровым номером 52:24:0040301:118 от 2 февраля 2026 года</w:t>
            </w:r>
          </w:p>
        </w:tc>
        <w:tc>
          <w:tcPr>
            <w:tcW w:type="dxa" w:w="1123"/>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3</w:t>
            </w: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4</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Копия постановления администрации Богородского района Нижегородской области от 12 мая 1994 года № 318 с планом границ участка</w:t>
            </w:r>
          </w:p>
        </w:tc>
        <w:tc>
          <w:tcPr>
            <w:tcW w:type="dxa" w:w="1123"/>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2</w:t>
            </w: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5</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Межевой план от 18 марта 2026 года с заключением кадастрового инженера и каталогом координат характерных точек</w:t>
            </w:r>
          </w:p>
        </w:tc>
        <w:tc>
          <w:tcPr>
            <w:tcW w:type="dxa" w:w="1123"/>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18</w:t>
            </w: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6</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Акт согласования местоположения границ от 12 марта 2026 года с записями о возражениях ответчика</w:t>
            </w:r>
          </w:p>
        </w:tc>
        <w:tc>
          <w:tcPr>
            <w:tcW w:type="dxa" w:w="1123"/>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1</w:t>
            </w: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7</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Письменные возражения ответчика от 12 марта 2026 года</w:t>
            </w:r>
          </w:p>
        </w:tc>
        <w:tc>
          <w:tcPr>
            <w:tcW w:type="dxa" w:w="1123"/>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1</w:t>
            </w: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8</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Извещение о проведении собрания о согласовании границ и расписка ответчика в его получении от 5 февраля 2026 года</w:t>
            </w:r>
          </w:p>
        </w:tc>
        <w:tc>
          <w:tcPr>
            <w:tcW w:type="dxa" w:w="1123"/>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2</w:t>
            </w: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9</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Выписка из ЕГРН на смежный земельный участок с кадастровым номером 52:24:0040301:119</w:t>
            </w:r>
          </w:p>
        </w:tc>
        <w:tc>
          <w:tcPr>
            <w:tcW w:type="dxa" w:w="1123"/>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3</w:t>
            </w:r>
          </w:p>
        </w:tc>
      </w:tr>
      <w:tr>
        <w:trPr>
          <w:cantSplit/>
        </w:trPr>
        <w:tc>
          <w:tcPr>
            <w:tcW w:type="dxa" w:w="748"/>
            <w:tcMar>
              <w:top w:type="dxa" w:w="40"/>
              <w:left w:type="dxa" w:w="70"/>
              <w:bottom w:type="dxa" w:w="40"/>
              <w:right w:type="dxa" w:w="70"/>
            </w:tcMar>
            <w:vAlign w:val="top"/>
          </w:tcPr>
          <w:p>
            <w:pPr>
              <w:pStyle w:val="BlankField"/>
              <w:keepNext/>
              <w:spacing w:after="0" w:before="0"/>
              <w:jc w:val="center"/>
            </w:pPr>
            <w:r>
              <w:rPr>
                <w:rFonts w:ascii="Times New Roman" w:cs="Times New Roman" w:eastAsia="Times New Roman" w:hAnsi="Times New Roman"/>
                <w:b w:val="false"/>
                <w:bCs w:val="false"/>
                <w:sz w:val="24"/>
                <w:szCs w:val="24"/>
              </w:rPr>
              <w:t xml:space="preserve">10</w:t>
            </w:r>
          </w:p>
        </w:tc>
        <w:tc>
          <w:tcPr>
            <w:tcW w:type="dxa" w:w="7484"/>
            <w:tcMar>
              <w:top w:type="dxa" w:w="40"/>
              <w:left w:type="dxa" w:w="70"/>
              <w:bottom w:type="dxa" w:w="40"/>
              <w:right w:type="dxa" w:w="70"/>
            </w:tcMar>
            <w:vAlign w:val="top"/>
          </w:tcPr>
          <w:p>
            <w:pPr>
              <w:pStyle w:val="BlankField"/>
              <w:keepNext/>
              <w:spacing w:after="0" w:before="0"/>
              <w:jc w:val="left"/>
            </w:pPr>
            <w:r>
              <w:rPr>
                <w:rFonts w:ascii="Times New Roman" w:cs="Times New Roman" w:eastAsia="Times New Roman" w:hAnsi="Times New Roman"/>
                <w:b w:val="false"/>
                <w:bCs w:val="false"/>
                <w:sz w:val="24"/>
                <w:szCs w:val="24"/>
              </w:rPr>
              <w:t xml:space="preserve">Копия предложения о переносе ограждения от 20 апреля 2026 года, опись вложения и квитанция об отправке</w:t>
            </w:r>
          </w:p>
        </w:tc>
        <w:tc>
          <w:tcPr>
            <w:tcW w:type="dxa" w:w="1123"/>
            <w:tcMar>
              <w:top w:type="dxa" w:w="40"/>
              <w:left w:type="dxa" w:w="70"/>
              <w:bottom w:type="dxa" w:w="40"/>
              <w:right w:type="dxa" w:w="70"/>
            </w:tcMar>
            <w:vAlign w:val="top"/>
          </w:tcPr>
          <w:p>
            <w:pPr>
              <w:pStyle w:val="BlankField"/>
              <w:keepNext/>
              <w:spacing w:after="0" w:before="0"/>
              <w:jc w:val="center"/>
            </w:pPr>
            <w:r>
              <w:rPr>
                <w:rFonts w:ascii="Times New Roman" w:cs="Times New Roman" w:eastAsia="Times New Roman" w:hAnsi="Times New Roman"/>
                <w:b w:val="false"/>
                <w:bCs w:val="false"/>
                <w:sz w:val="24"/>
                <w:szCs w:val="24"/>
              </w:rPr>
              <w:t xml:space="preserve">3</w:t>
            </w:r>
          </w:p>
        </w:tc>
      </w:tr>
      <w:tr>
        <w:trPr>
          <w:cantSplit/>
        </w:trPr>
        <w:tc>
          <w:tcPr>
            <w:tcW w:type="dxa" w:w="748"/>
            <w:tcMar>
              <w:top w:type="dxa" w:w="40"/>
              <w:left w:type="dxa" w:w="70"/>
              <w:bottom w:type="dxa" w:w="40"/>
              <w:right w:type="dxa" w:w="70"/>
            </w:tcMar>
            <w:vAlign w:val="top"/>
          </w:tcPr>
          <w:p>
            <w:pPr>
              <w:pStyle w:val="BlankField"/>
              <w:keepNext/>
              <w:spacing w:after="0" w:before="0"/>
              <w:jc w:val="center"/>
            </w:pPr>
            <w:r>
              <w:rPr>
                <w:rFonts w:ascii="Times New Roman" w:cs="Times New Roman" w:eastAsia="Times New Roman" w:hAnsi="Times New Roman"/>
                <w:b w:val="false"/>
                <w:bCs w:val="false"/>
                <w:sz w:val="24"/>
                <w:szCs w:val="24"/>
              </w:rPr>
              <w:t xml:space="preserve">11</w:t>
            </w:r>
          </w:p>
        </w:tc>
        <w:tc>
          <w:tcPr>
            <w:tcW w:type="dxa" w:w="7484"/>
            <w:tcMar>
              <w:top w:type="dxa" w:w="40"/>
              <w:left w:type="dxa" w:w="70"/>
              <w:bottom w:type="dxa" w:w="40"/>
              <w:right w:type="dxa" w:w="70"/>
            </w:tcMar>
            <w:vAlign w:val="top"/>
          </w:tcPr>
          <w:p>
            <w:pPr>
              <w:pStyle w:val="BlankField"/>
              <w:keepNext/>
              <w:spacing w:after="0" w:before="0"/>
              <w:jc w:val="left"/>
            </w:pPr>
            <w:r>
              <w:rPr>
                <w:rFonts w:ascii="Times New Roman" w:cs="Times New Roman" w:eastAsia="Times New Roman" w:hAnsi="Times New Roman"/>
                <w:b w:val="false"/>
                <w:bCs w:val="false"/>
                <w:sz w:val="24"/>
                <w:szCs w:val="24"/>
              </w:rPr>
              <w:t xml:space="preserve">Фотоматериалы фактического расположения ограждения</w:t>
            </w:r>
          </w:p>
        </w:tc>
        <w:tc>
          <w:tcPr>
            <w:tcW w:type="dxa" w:w="1123"/>
            <w:tcMar>
              <w:top w:type="dxa" w:w="40"/>
              <w:left w:type="dxa" w:w="70"/>
              <w:bottom w:type="dxa" w:w="40"/>
              <w:right w:type="dxa" w:w="70"/>
            </w:tcMar>
            <w:vAlign w:val="top"/>
          </w:tcPr>
          <w:p>
            <w:pPr>
              <w:pStyle w:val="BlankField"/>
              <w:keepNext/>
              <w:spacing w:after="0" w:before="0"/>
              <w:jc w:val="center"/>
            </w:pPr>
            <w:r>
              <w:rPr>
                <w:rFonts w:ascii="Times New Roman" w:cs="Times New Roman" w:eastAsia="Times New Roman" w:hAnsi="Times New Roman"/>
                <w:b w:val="false"/>
                <w:bCs w:val="false"/>
                <w:sz w:val="24"/>
                <w:szCs w:val="24"/>
              </w:rPr>
              <w:t xml:space="preserve">4</w:t>
            </w:r>
          </w:p>
        </w:tc>
      </w:tr>
    </w:tbl>
    <w:p>
      <w:pPr>
        <w:keepNext/>
        <w:spacing w:after="0" w:before="0" w:line="1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5"/>
        <w:gridCol w:w="471"/>
        <w:gridCol w:w="225"/>
        <w:gridCol w:w="1601"/>
        <w:gridCol w:w="753"/>
        <w:gridCol w:w="265"/>
        <w:gridCol w:w="5875"/>
      </w:tblGrid>
      <w:tr>
        <w:trPr>
          <w:cantSplit/>
        </w:trPr>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center"/>
            </w:pPr>
            <w:r>
              <w:rPr>
                <w:rFonts w:ascii="Times New Roman" w:cs="Times New Roman" w:eastAsia="Times New Roman" w:hAnsi="Times New Roman"/>
                <w:sz w:val="24"/>
                <w:szCs w:val="24"/>
              </w:rPr>
              <w:t xml:space="preserve">7</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center"/>
            </w:pPr>
            <w:r>
              <w:rPr>
                <w:rFonts w:ascii="Times New Roman" w:cs="Times New Roman" w:eastAsia="Times New Roman" w:hAnsi="Times New Roman"/>
                <w:sz w:val="24"/>
                <w:szCs w:val="24"/>
              </w:rPr>
              <w:t xml:space="preserve">сентября</w:t>
            </w:r>
          </w:p>
        </w:tc>
        <w:tc>
          <w:tcPr>
            <w:tcW w:type="dxa" w:w="75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center"/>
            </w:pPr>
            <w:r>
              <w:rPr>
                <w:rFonts w:ascii="Times New Roman" w:cs="Times New Roman" w:eastAsia="Times New Roman" w:hAnsi="Times New Roman"/>
                <w:sz w:val="24"/>
                <w:szCs w:val="24"/>
              </w:rPr>
              <w:t xml:space="preserve">2026</w:t>
            </w: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г.</w:t>
            </w:r>
          </w:p>
        </w:tc>
        <w:tc>
          <w:tcPr>
            <w:tcW w:type="dxa" w:w="587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r>
    </w:tbl>
    <w:p>
      <w:pPr>
        <w:keepNext/>
        <w:spacing w:after="0" w:before="0" w:line="1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0"/>
        <w:gridCol w:w="2071"/>
        <w:gridCol w:w="282"/>
        <w:gridCol w:w="6312"/>
      </w:tblGrid>
      <w:tr>
        <w:trPr>
          <w:cantSplit/>
        </w:trPr>
        <w:tc>
          <w:tcPr>
            <w:tcW w:type="dxa" w:w="7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Истец</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631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r>
              <w:rPr>
                <w:rFonts w:ascii="Times New Roman" w:cs="Times New Roman" w:eastAsia="Times New Roman" w:hAnsi="Times New Roman"/>
                <w:sz w:val="24"/>
                <w:szCs w:val="24"/>
              </w:rPr>
              <w:t xml:space="preserve">Некрасова Л. И.</w:t>
            </w:r>
          </w:p>
        </w:tc>
      </w:tr>
      <w:tr>
        <w:trPr>
          <w:cantSplit/>
        </w:trPr>
        <w:tc>
          <w:tcPr>
            <w:tcW w:type="dxa" w:w="75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631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p>
      <w:pPr>
        <w:spacing w:after="0" w:before="0" w:line="120" w:lineRule="exact"/>
      </w:pPr>
    </w:p>
    <w:p>
      <w:pPr>
        <w:keepNext w:val="false"/>
        <w:keepLines/>
        <w:spacing w:after="0" w:before="0"/>
      </w:pPr>
      <w:r>
        <w:rPr>
          <w:rFonts w:ascii="Times New Roman" w:cs="Times New Roman" w:eastAsia="Times New Roman" w:hAnsi="Times New Roman"/>
          <w:i/>
          <w:iCs/>
          <w:color w:val="555555"/>
          <w:sz w:val="18"/>
          <w:szCs w:val="18"/>
        </w:rPr>
        <w:t xml:space="preserve">Образец заполнен условными данными. Замените наименование суда, стороны, кадастровые номера, реквизиты правоустанавливающего документа, межевого плана и каталог координат на свои. Координаты приведены в условных значениях системы МСК-52 и образуют прямоугольник 30 × 20 м площадью 600 кв. м; в вашем иске они переносятся из межевого плана без округления.</w:t>
      </w:r>
    </w:p>
    <w:sectPr>
      <w:footerReference w:type="default" r:id="rId7"/>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55555"/>
        <w:sz w:val="18"/>
        <w:szCs w:val="18"/>
      </w:rPr>
      <w:t xml:space="preserve">Страница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autoHyphenation/>
  <w:consecutiveHyphenLimit w:val="2"/>
  <w:doNotHyphenateCap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ru-RU"/>
      </w:rPr>
    </w:rPrDefault>
    <w:pPrDefault>
      <w:pPr>
        <w:spacing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lankField">
    <w:name w:val="Blank field"/>
    <w:basedOn w:val="Normal"/>
    <w:pPr>
      <w:suppressAutoHyphens/>
      <w:spacing w:after="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iskovoe-zayavlenie-ob-ustanovlenii-granic-uchastka-obrazec</dc:title>
  <dc:creator>AllContract.ru</dc:creator>
  <cp:lastModifiedBy>Un-named</cp:lastModifiedBy>
  <cp:revision>1</cp:revision>
  <dcterms:created xsi:type="dcterms:W3CDTF">2026-09-25T22:26:31.033Z</dcterms:created>
  <dcterms:modified xsi:type="dcterms:W3CDTF">2026-09-25T22:26:31.033Z</dcterms:modified>
</cp:coreProperties>
</file>

<file path=docProps/custom.xml><?xml version="1.0" encoding="utf-8"?>
<Properties xmlns="http://schemas.openxmlformats.org/officeDocument/2006/custom-properties" xmlns:vt="http://schemas.openxmlformats.org/officeDocument/2006/docPropsVTypes"/>
</file>