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right"/>
      </w:pPr>
      <w:r>
        <w:rPr>
          <w:rFonts w:ascii="Calibri" w:cs="Calibri" w:eastAsia="Calibri" w:hAnsi="Calibri"/>
          <w:sz w:val="22"/>
          <w:szCs w:val="22"/>
        </w:rPr>
        <w:t xml:space="preserve">В Таганский районный суд города Москвы</w:t>
      </w:r>
    </w:p>
    <w:p>
      <w:pPr>
        <w:spacing w:after="120"/>
        <w:jc w:val="right"/>
      </w:pPr>
      <w:r>
        <w:rPr>
          <w:rFonts w:ascii="Calibri" w:cs="Calibri" w:eastAsia="Calibri" w:hAnsi="Calibri"/>
          <w:sz w:val="22"/>
          <w:szCs w:val="22"/>
        </w:rPr>
        <w:t xml:space="preserve">109147, г. Москва, Марксистский пер., д. 1/32</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Истец: Соколов Павел Андреевич</w:t>
      </w:r>
    </w:p>
    <w:p>
      <w:pPr>
        <w:spacing w:after="120"/>
        <w:jc w:val="right"/>
      </w:pPr>
      <w:r>
        <w:rPr>
          <w:rFonts w:ascii="Calibri" w:cs="Calibri" w:eastAsia="Calibri" w:hAnsi="Calibri"/>
          <w:sz w:val="22"/>
          <w:szCs w:val="22"/>
        </w:rPr>
        <w:t xml:space="preserve">Дата и место рождения: 3 марта 1979 г., г. Калинин</w:t>
      </w:r>
    </w:p>
    <w:p>
      <w:pPr>
        <w:spacing w:after="120"/>
        <w:jc w:val="right"/>
      </w:pPr>
      <w:r>
        <w:rPr>
          <w:rFonts w:ascii="Calibri" w:cs="Calibri" w:eastAsia="Calibri" w:hAnsi="Calibri"/>
          <w:sz w:val="22"/>
          <w:szCs w:val="22"/>
        </w:rPr>
        <w:t xml:space="preserve">170100, г. Тверь, ул. Советская, д. 40, кв. 12</w:t>
      </w:r>
    </w:p>
    <w:p>
      <w:pPr>
        <w:spacing w:after="120"/>
        <w:jc w:val="right"/>
      </w:pPr>
      <w:r>
        <w:rPr>
          <w:rFonts w:ascii="Calibri" w:cs="Calibri" w:eastAsia="Calibri" w:hAnsi="Calibri"/>
          <w:sz w:val="22"/>
          <w:szCs w:val="22"/>
        </w:rPr>
        <w:t xml:space="preserve">СНИЛС: 123-456-789 01</w:t>
      </w:r>
    </w:p>
    <w:p>
      <w:pPr>
        <w:spacing w:after="120"/>
        <w:jc w:val="right"/>
      </w:pPr>
      <w:r>
        <w:rPr>
          <w:rFonts w:ascii="Calibri" w:cs="Calibri" w:eastAsia="Calibri" w:hAnsi="Calibri"/>
          <w:sz w:val="22"/>
          <w:szCs w:val="22"/>
        </w:rPr>
        <w:t xml:space="preserve">Телефон: +7 (4822) 55-17-30</w:t>
      </w:r>
    </w:p>
    <w:p>
      <w:pPr>
        <w:spacing w:after="120"/>
        <w:jc w:val="right"/>
      </w:pPr>
      <w:r>
        <w:rPr>
          <w:rFonts w:ascii="Calibri" w:cs="Calibri" w:eastAsia="Calibri" w:hAnsi="Calibri"/>
          <w:sz w:val="22"/>
          <w:szCs w:val="22"/>
        </w:rPr>
        <w:t xml:space="preserve">Эл. почта: sokolov.pa@example.ru</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Ответчик (эмитент): ООО «Название»</w:t>
      </w:r>
    </w:p>
    <w:p>
      <w:pPr>
        <w:spacing w:after="120"/>
        <w:jc w:val="right"/>
      </w:pPr>
      <w:r>
        <w:rPr>
          <w:rFonts w:ascii="Calibri" w:cs="Calibri" w:eastAsia="Calibri" w:hAnsi="Calibri"/>
          <w:sz w:val="22"/>
          <w:szCs w:val="22"/>
        </w:rPr>
        <w:t xml:space="preserve">ИНН: 7709123456 ОГРН: 1187746123456</w:t>
      </w:r>
    </w:p>
    <w:p>
      <w:pPr>
        <w:spacing w:after="120"/>
        <w:jc w:val="right"/>
      </w:pPr>
      <w:r>
        <w:rPr>
          <w:rFonts w:ascii="Calibri" w:cs="Calibri" w:eastAsia="Calibri" w:hAnsi="Calibri"/>
          <w:sz w:val="22"/>
          <w:szCs w:val="22"/>
        </w:rPr>
        <w:t xml:space="preserve">109147, г. Москва, ул. Марксистская,</w:t>
      </w:r>
    </w:p>
    <w:p>
      <w:pPr>
        <w:spacing w:after="120"/>
        <w:jc w:val="right"/>
      </w:pPr>
      <w:r>
        <w:rPr>
          <w:rFonts w:ascii="Calibri" w:cs="Calibri" w:eastAsia="Calibri" w:hAnsi="Calibri"/>
          <w:sz w:val="22"/>
          <w:szCs w:val="22"/>
        </w:rPr>
        <w:t xml:space="preserve">д. 22, стр. 1, помещ. 5</w:t>
      </w:r>
    </w:p>
    <w:p>
      <w:pPr>
        <w:spacing w:after="120"/>
      </w:pPr>
      <w:r>
        <w:rPr>
          <w:rFonts w:ascii="Calibri" w:cs="Calibri" w:eastAsia="Calibri" w:hAnsi="Calibri"/>
          <w:sz w:val="22"/>
          <w:szCs w:val="22"/>
        </w:rPr>
        <w:t xml:space="preserve"/>
      </w:r>
    </w:p>
    <w:p>
      <w:pPr>
        <w:spacing w:after="120"/>
        <w:jc w:val="right"/>
      </w:pPr>
      <w:r>
        <w:rPr>
          <w:rFonts w:ascii="Calibri" w:cs="Calibri" w:eastAsia="Calibri" w:hAnsi="Calibri"/>
          <w:sz w:val="22"/>
          <w:szCs w:val="22"/>
        </w:rPr>
        <w:t xml:space="preserve">Цена иска: 322 614,41 руб.</w:t>
      </w:r>
    </w:p>
    <w:p>
      <w:pPr>
        <w:spacing w:after="120"/>
        <w:jc w:val="right"/>
      </w:pPr>
      <w:r>
        <w:rPr>
          <w:rFonts w:ascii="Calibri" w:cs="Calibri" w:eastAsia="Calibri" w:hAnsi="Calibri"/>
          <w:sz w:val="22"/>
          <w:szCs w:val="22"/>
        </w:rPr>
        <w:t xml:space="preserve">Госпошлина: 10 565 руб.</w:t>
      </w:r>
    </w:p>
    <w:p>
      <w:pPr>
        <w:spacing w:after="120"/>
        <w:jc w:val="right"/>
      </w:pPr>
      <w:r>
        <w:rPr>
          <w:rFonts w:ascii="Calibri" w:cs="Calibri" w:eastAsia="Calibri" w:hAnsi="Calibri"/>
          <w:i/>
          <w:iCs/>
          <w:sz w:val="18"/>
          <w:szCs w:val="18"/>
        </w:rPr>
        <w:t xml:space="preserve">(подпункт 1 пункта 1 статьи 333.19 Налогового кодекса Российской Федерации)</w:t>
      </w:r>
    </w:p>
    <w:p>
      <w:pPr>
        <w:spacing w:after="120"/>
      </w:pPr>
      <w:r>
        <w:rPr>
          <w:rFonts w:ascii="Calibri" w:cs="Calibri" w:eastAsia="Calibri" w:hAnsi="Calibri"/>
          <w:sz w:val="22"/>
          <w:szCs w:val="22"/>
        </w:rPr>
        <w:t xml:space="preserve"/>
      </w:r>
    </w:p>
    <w:p>
      <w:pPr>
        <w:spacing w:after="120" w:before="240"/>
        <w:jc w:val="center"/>
      </w:pPr>
      <w:r>
        <w:rPr>
          <w:rFonts w:ascii="Cambria" w:cs="Cambria" w:eastAsia="Cambria" w:hAnsi="Cambria"/>
          <w:b/>
          <w:bCs/>
          <w:sz w:val="28"/>
          <w:szCs w:val="28"/>
        </w:rPr>
        <w:t xml:space="preserve">ИСКОВОЕ ЗАЯВЛЕНИЕ</w:t>
      </w:r>
    </w:p>
    <w:p>
      <w:pPr>
        <w:spacing w:after="200" w:before="120"/>
        <w:jc w:val="center"/>
      </w:pPr>
      <w:r>
        <w:rPr>
          <w:rFonts w:ascii="Cambria" w:cs="Cambria" w:eastAsia="Cambria" w:hAnsi="Cambria"/>
          <w:b/>
          <w:bCs/>
          <w:sz w:val="24"/>
          <w:szCs w:val="24"/>
        </w:rPr>
        <w:t xml:space="preserve">о взыскании номинальной стоимости облигаций, купонного дохода и процентов</w:t>
      </w:r>
    </w:p>
    <w:p>
      <w:pPr>
        <w:spacing w:after="120"/>
        <w:jc w:val="both"/>
      </w:pPr>
      <w:r>
        <w:rPr>
          <w:rFonts w:ascii="Calibri" w:cs="Calibri" w:eastAsia="Calibri" w:hAnsi="Calibri"/>
          <w:sz w:val="22"/>
          <w:szCs w:val="22"/>
        </w:rPr>
        <w:t xml:space="preserve">Я являюсь владельцем 300 (трёхсот) биржевых облигаций ООО «Название» серии БО-01, идентификационный номер выпуска 4B02-01-00477-R от 25 июля 2024 года, ISIN RU000A10A0Q7, номинальной стоимостью 1 000 руб. каждая (далее — Облигации). Права на Облигации учитываются на счёте депо № 0417-2291 в депозитарии АО «Брокер», что подтверждается выпиской по счёту депо по состоянию на 15 июля 2026 года.</w:t>
      </w:r>
    </w:p>
    <w:p>
      <w:pPr>
        <w:spacing w:after="120"/>
        <w:jc w:val="both"/>
      </w:pPr>
      <w:r>
        <w:rPr>
          <w:rFonts w:ascii="Calibri" w:cs="Calibri" w:eastAsia="Calibri" w:hAnsi="Calibri"/>
          <w:sz w:val="22"/>
          <w:szCs w:val="22"/>
        </w:rPr>
        <w:t xml:space="preserve">Облигации размещены 15 августа 2024 года. Решением о выпуске Облигаций предусмотрены: погашение 9 августа 2029 года; купонный доход по ставке 18 % годовых, выплачиваемый каждые 91 день, — 44,88 руб. на одну Облигацию за купонный период; при досрочном погашении по требованию владельцев выплачиваются номинальная стоимость и накопленный купонный доход, рассчитанный на дату погашения.</w:t>
      </w:r>
    </w:p>
    <w:p>
      <w:pPr>
        <w:spacing w:after="120"/>
        <w:jc w:val="both"/>
      </w:pPr>
      <w:r>
        <w:rPr>
          <w:rFonts w:ascii="Calibri" w:cs="Calibri" w:eastAsia="Calibri" w:hAnsi="Calibri"/>
          <w:sz w:val="22"/>
          <w:szCs w:val="22"/>
        </w:rPr>
        <w:t xml:space="preserve">Облигации выпущены без обеспечения, представитель владельцев облигаций по выпуску не определён. Общим собранием владельцев облигаций решений об отказе от права требовать досрочного погашения и от права на обращение в суд не принималось.</w:t>
      </w:r>
    </w:p>
    <w:p>
      <w:pPr>
        <w:spacing w:after="120"/>
        <w:jc w:val="both"/>
      </w:pPr>
      <w:r>
        <w:rPr>
          <w:rFonts w:ascii="Calibri" w:cs="Calibri" w:eastAsia="Calibri" w:hAnsi="Calibri"/>
          <w:sz w:val="22"/>
          <w:szCs w:val="22"/>
        </w:rPr>
        <w:t xml:space="preserve">14 мая 2026 года ответчик не выплатил купонный доход за седьмой купонный период в размере 13 464 руб. (44,88 руб. × 300 Облигаций). Информация о неисполнении обязательства раскрыта ответчиком 15 мая 2026 года. Просрочка превысила десять рабочих дней 29 мая 2026 года.</w:t>
      </w:r>
    </w:p>
    <w:p>
      <w:pPr>
        <w:spacing w:after="120"/>
        <w:jc w:val="both"/>
      </w:pPr>
      <w:r>
        <w:rPr>
          <w:rFonts w:ascii="Calibri" w:cs="Calibri" w:eastAsia="Calibri" w:hAnsi="Calibri"/>
          <w:sz w:val="22"/>
          <w:szCs w:val="22"/>
        </w:rPr>
        <w:t xml:space="preserve">1 июня 2026 года я дал инструкцию депозитарию АО «Брокер» о предъявлении требования о досрочном погашении всех 300 Облигаций. Требование получено центральным депозитарием 2 июня 2026 года, что подтверждается отчётом депозитария; Облигации заблокированы на счёте депо. Срок погашения истёк 11 июня 2026 года, денежные средства не поступили.</w:t>
      </w:r>
    </w:p>
    <w:p>
      <w:pPr>
        <w:spacing w:after="120"/>
        <w:jc w:val="both"/>
      </w:pPr>
      <w:r>
        <w:rPr>
          <w:rFonts w:ascii="Calibri" w:cs="Calibri" w:eastAsia="Calibri" w:hAnsi="Calibri"/>
          <w:sz w:val="22"/>
          <w:szCs w:val="22"/>
        </w:rPr>
        <w:t xml:space="preserve">15 июня 2026 года я направил ответчику претензию заказным письмом с описью вложения. Претензия получена ответчиком 22 июня 2026 года, ответ не поступил, требования не исполнены.</w:t>
      </w:r>
    </w:p>
    <w:p>
      <w:pPr>
        <w:spacing w:after="120"/>
        <w:jc w:val="both"/>
      </w:pPr>
      <w:r>
        <w:rPr>
          <w:rFonts w:ascii="Calibri" w:cs="Calibri" w:eastAsia="Calibri" w:hAnsi="Calibri"/>
          <w:sz w:val="22"/>
          <w:szCs w:val="22"/>
        </w:rPr>
        <w:t xml:space="preserve">В силу пункта 2 статьи 816 Гражданского кодекса Российской Федерации облигация удостоверяет право её держателя на получение от лица, выпустившего облигацию, в предусмотренный ею срок номинальной стоимости облигации, а также право на получение фиксированного в ней процента от номинальной стоимости либо иные имущественные права. Согласно статьям 309 и 310 Гражданского кодекса Российской Федерации обязательства должны исполняться надлежащим образом, односторонний отказ от их исполнения не допускается.</w:t>
      </w:r>
    </w:p>
    <w:p>
      <w:pPr>
        <w:spacing w:after="120"/>
        <w:jc w:val="both"/>
      </w:pPr>
      <w:r>
        <w:rPr>
          <w:rFonts w:ascii="Calibri" w:cs="Calibri" w:eastAsia="Calibri" w:hAnsi="Calibri"/>
          <w:sz w:val="22"/>
          <w:szCs w:val="22"/>
        </w:rPr>
        <w:t xml:space="preserve">В соответствии с подпунктом 1 пункта 5 статьи 17.1 Федерального закона от 22 апреля 1996 года № 39-ФЗ «О рынке ценных бумаг» просрочка исполнения обязательства по выплате очередного процентного дохода по облигациям на срок более десяти рабочих дней является существенным нарушением условий исполнения обязательств по облигациям. При таком нарушении владелец облигаций вправе требовать их досрочного погашения (пункт 4 статьи 17.1), а облигации, предъявленные к досрочному погашению, должны быть погашены не позднее семи рабочих дней с даты получения требования (пункт 4.1 статьи 17.1 того же закона).</w:t>
      </w:r>
    </w:p>
    <w:p>
      <w:pPr>
        <w:spacing w:after="120"/>
        <w:jc w:val="both"/>
      </w:pPr>
      <w:r>
        <w:rPr>
          <w:rFonts w:ascii="Calibri" w:cs="Calibri" w:eastAsia="Calibri" w:hAnsi="Calibri"/>
          <w:sz w:val="22"/>
          <w:szCs w:val="22"/>
        </w:rPr>
        <w:t xml:space="preserve">Поскольку по выпуску без обеспечения определение представителя владельцев облигаций законом не требуется (пункт 2 статьи 29.1 Федерального закона «О рынке ценных бумаг») и такой представитель не определён, ограничения пунктов 15 и 16 статьи 29.1 того же закона на индивидуальное обращение в суд не применяются.</w:t>
      </w:r>
    </w:p>
    <w:p>
      <w:pPr>
        <w:spacing w:after="120"/>
        <w:jc w:val="both"/>
      </w:pPr>
      <w:r>
        <w:rPr>
          <w:rFonts w:ascii="Calibri" w:cs="Calibri" w:eastAsia="Calibri" w:hAnsi="Calibri"/>
          <w:sz w:val="22"/>
          <w:szCs w:val="22"/>
        </w:rPr>
        <w:t xml:space="preserve">Согласно пункту 1 статьи 395 Гражданского кодекса Российской Федерации в случае неправомерного удержания денежных средств, уклонения от их возврата, иной просрочки в их уплате подлежат уплате проценты на сумму долга, размер которых определяется ключевой ставкой Банка России, действовавшей в соответствующие периоды. По пункту 3 той же статьи проценты взимаются по день уплаты суммы этих средств кредитору.</w:t>
      </w:r>
    </w:p>
    <w:p>
      <w:pPr>
        <w:spacing w:after="120"/>
        <w:jc w:val="both"/>
      </w:pPr>
      <w:r>
        <w:rPr>
          <w:rFonts w:ascii="Calibri" w:cs="Calibri" w:eastAsia="Calibri" w:hAnsi="Calibri"/>
          <w:sz w:val="22"/>
          <w:szCs w:val="22"/>
        </w:rPr>
        <w:t xml:space="preserve">Размер задолженности ответчика составляет: номинальная стоимость Облигаций — 300 000 руб.; купонный доход за седьмой купонный период — 13 464 руб.; накопленный купонный доход за восьмой купонный период с 14 мая по 11 июня 2026 года (28 дней) — 4 143 руб. (13,81 руб. × 300 Облигаций); проценты за пользование чужими денежными средствами по 20 июля 2026 года — 5 007,41 руб., из них 355,69 руб. на сумму купонного дохода с 15 мая 2026 года и 4 651,72 руб. на сумму 304 143 руб. с 12 июня 2026 года, согласно прилагаемому расчёту.</w:t>
      </w:r>
    </w:p>
    <w:p>
      <w:pPr>
        <w:spacing w:after="120"/>
        <w:jc w:val="both"/>
      </w:pPr>
      <w:r>
        <w:rPr>
          <w:rFonts w:ascii="Calibri" w:cs="Calibri" w:eastAsia="Calibri" w:hAnsi="Calibri"/>
          <w:sz w:val="22"/>
          <w:szCs w:val="22"/>
        </w:rPr>
        <w:t xml:space="preserve">Я не являюсь индивидуальным предпринимателем, облигации приобретены мной как гражданином. Иск предъявляется по адресу ответчика в соответствии со статьёй 28 Гражданского процессуального кодекса Российской Федерации.</w:t>
      </w:r>
    </w:p>
    <w:p>
      <w:pPr>
        <w:spacing w:after="120"/>
      </w:pPr>
      <w:r>
        <w:rPr>
          <w:rFonts w:ascii="Calibri" w:cs="Calibri" w:eastAsia="Calibri" w:hAnsi="Calibri"/>
          <w:sz w:val="22"/>
          <w:szCs w:val="22"/>
        </w:rPr>
        <w:t xml:space="preserve"/>
      </w:r>
    </w:p>
    <w:p>
      <w:pPr>
        <w:spacing w:after="120"/>
        <w:jc w:val="center"/>
      </w:pPr>
      <w:r>
        <w:rPr>
          <w:rFonts w:ascii="Calibri" w:cs="Calibri" w:eastAsia="Calibri" w:hAnsi="Calibri"/>
          <w:b/>
          <w:bCs/>
          <w:sz w:val="22"/>
          <w:szCs w:val="22"/>
        </w:rPr>
        <w:t xml:space="preserve">ПРОШУ:</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1. Взыскать с ООО «Название» в пользу Соколова Павла Андреевича номинальную стоимость 300 облигаций серии БО-01 в размере 300 000 руб., купонный доход за седьмой купонный период в размере 13 464 руб., накопленный купонный доход в размере 4 143 руб., проценты за пользование чужими денежными средствами по 20 июля 2026 года в размере 5 007,41 руб., а всего 322 614 (Триста двадцать две тысячи шестьсот четырнадцать) руб. 41 коп.</w:t>
      </w:r>
    </w:p>
    <w:p>
      <w:pPr>
        <w:spacing w:after="120"/>
        <w:jc w:val="both"/>
      </w:pPr>
      <w:r>
        <w:rPr>
          <w:rFonts w:ascii="Calibri" w:cs="Calibri" w:eastAsia="Calibri" w:hAnsi="Calibri"/>
          <w:sz w:val="22"/>
          <w:szCs w:val="22"/>
        </w:rPr>
        <w:t xml:space="preserve">2. Взыскать с ООО «Название» в пользу Соколова Павла Андреевича проценты за пользование чужими денежными средствами по статье 395 Гражданского кодекса Российской Федерации, начисляемые на сумму 317 607 руб. (или на её остаток) с 21 июля 2026 года по день фактической уплаты.</w:t>
      </w:r>
    </w:p>
    <w:p>
      <w:pPr>
        <w:spacing w:after="120"/>
        <w:jc w:val="both"/>
      </w:pPr>
      <w:r>
        <w:rPr>
          <w:rFonts w:ascii="Calibri" w:cs="Calibri" w:eastAsia="Calibri" w:hAnsi="Calibri"/>
          <w:sz w:val="22"/>
          <w:szCs w:val="22"/>
        </w:rPr>
        <w:t xml:space="preserve">3. Взыскать с ООО «Название» в пользу Соколова Павла Андреевича расходы по уплате государственной пошлины в размере 10 565 (Десять тысяч пятьсот шестьдесят пять) руб. 00 коп.</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Приложение:</w:t>
      </w:r>
    </w:p>
    <w:p>
      <w:pPr>
        <w:spacing w:after="120"/>
        <w:jc w:val="both"/>
      </w:pPr>
      <w:r>
        <w:rPr>
          <w:rFonts w:ascii="Calibri" w:cs="Calibri" w:eastAsia="Calibri" w:hAnsi="Calibri"/>
          <w:sz w:val="22"/>
          <w:szCs w:val="22"/>
        </w:rPr>
        <w:t xml:space="preserve">1. Чек об уплате государственной пошлины на сумму 10 565 руб. — на 1 л.</w:t>
      </w:r>
    </w:p>
    <w:p>
      <w:pPr>
        <w:spacing w:after="120"/>
        <w:jc w:val="both"/>
      </w:pPr>
      <w:r>
        <w:rPr>
          <w:rFonts w:ascii="Calibri" w:cs="Calibri" w:eastAsia="Calibri" w:hAnsi="Calibri"/>
          <w:sz w:val="22"/>
          <w:szCs w:val="22"/>
        </w:rPr>
        <w:t xml:space="preserve">2. Опись вложения и квитанция об отправке ответчику копии искового заявления с приложениями — на 2 л.</w:t>
      </w:r>
    </w:p>
    <w:p>
      <w:pPr>
        <w:spacing w:after="120"/>
        <w:jc w:val="both"/>
      </w:pPr>
      <w:r>
        <w:rPr>
          <w:rFonts w:ascii="Calibri" w:cs="Calibri" w:eastAsia="Calibri" w:hAnsi="Calibri"/>
          <w:sz w:val="22"/>
          <w:szCs w:val="22"/>
        </w:rPr>
        <w:t xml:space="preserve">3. Выписка по счёту депо № 0417-2291 на 15 июля 2026 года — на 1 л.</w:t>
      </w:r>
    </w:p>
    <w:p>
      <w:pPr>
        <w:spacing w:after="120"/>
        <w:jc w:val="both"/>
      </w:pPr>
      <w:r>
        <w:rPr>
          <w:rFonts w:ascii="Calibri" w:cs="Calibri" w:eastAsia="Calibri" w:hAnsi="Calibri"/>
          <w:sz w:val="22"/>
          <w:szCs w:val="22"/>
        </w:rPr>
        <w:t xml:space="preserve">4. Распечатка решения о выпуске облигаций серии БО-01 — на 24 л.</w:t>
      </w:r>
    </w:p>
    <w:p>
      <w:pPr>
        <w:spacing w:after="120"/>
        <w:jc w:val="both"/>
      </w:pPr>
      <w:r>
        <w:rPr>
          <w:rFonts w:ascii="Calibri" w:cs="Calibri" w:eastAsia="Calibri" w:hAnsi="Calibri"/>
          <w:sz w:val="22"/>
          <w:szCs w:val="22"/>
        </w:rPr>
        <w:t xml:space="preserve">5. Распечатка сообщения ответчика о неисполнении обязательства по выплате седьмого купонного дохода от 15 мая 2026 года — на 2 л.</w:t>
      </w:r>
    </w:p>
    <w:p>
      <w:pPr>
        <w:spacing w:after="120"/>
        <w:jc w:val="both"/>
      </w:pPr>
      <w:r>
        <w:rPr>
          <w:rFonts w:ascii="Calibri" w:cs="Calibri" w:eastAsia="Calibri" w:hAnsi="Calibri"/>
          <w:sz w:val="22"/>
          <w:szCs w:val="22"/>
        </w:rPr>
        <w:t xml:space="preserve">6. Инструкция о предъявлении требования о досрочном погашении от 1 июня 2026 года и отчёт депозитария — на 3 л.</w:t>
      </w:r>
    </w:p>
    <w:p>
      <w:pPr>
        <w:spacing w:after="120"/>
        <w:jc w:val="both"/>
      </w:pPr>
      <w:r>
        <w:rPr>
          <w:rFonts w:ascii="Calibri" w:cs="Calibri" w:eastAsia="Calibri" w:hAnsi="Calibri"/>
          <w:sz w:val="22"/>
          <w:szCs w:val="22"/>
        </w:rPr>
        <w:t xml:space="preserve">7. Претензия от 15 июня 2026 года, опись вложения, квитанция и отчёт об отслеживании отправления — на 4 л.</w:t>
      </w:r>
    </w:p>
    <w:p>
      <w:pPr>
        <w:spacing w:after="120"/>
        <w:jc w:val="both"/>
      </w:pPr>
      <w:r>
        <w:rPr>
          <w:rFonts w:ascii="Calibri" w:cs="Calibri" w:eastAsia="Calibri" w:hAnsi="Calibri"/>
          <w:sz w:val="22"/>
          <w:szCs w:val="22"/>
        </w:rPr>
        <w:t xml:space="preserve">8. Расчёт взыскиваемой суммы и процентов по статье 395 ГК РФ — на 2 л.</w:t>
      </w:r>
    </w:p>
    <w:p>
      <w:pPr>
        <w:spacing w:after="120"/>
        <w:jc w:val="both"/>
      </w:pPr>
      <w:r>
        <w:rPr>
          <w:rFonts w:ascii="Calibri" w:cs="Calibri" w:eastAsia="Calibri" w:hAnsi="Calibri"/>
          <w:sz w:val="22"/>
          <w:szCs w:val="22"/>
        </w:rPr>
        <w:t xml:space="preserve">9. Выписка из ЕГРЮЛ в отношении ООО «Название» — на 6 л.</w:t>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«20» июля 2026 г.</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sz w:val="22"/>
          <w:szCs w:val="22"/>
        </w:rPr>
        <w:t xml:space="preserve">_______________________ / Соколов П. А. /</w:t>
      </w:r>
    </w:p>
    <w:p>
      <w:pPr>
        <w:spacing w:after="120"/>
        <w:jc w:val="both"/>
      </w:pPr>
      <w:r>
        <w:rPr>
          <w:rFonts w:ascii="Calibri" w:cs="Calibri" w:eastAsia="Calibri" w:hAnsi="Calibri"/>
          <w:i/>
          <w:iCs/>
          <w:sz w:val="18"/>
          <w:szCs w:val="18"/>
        </w:rPr>
        <w:t xml:space="preserve">(подпись)</w:t>
      </w:r>
    </w:p>
    <w:p>
      <w:pPr>
        <w:spacing w:after="120"/>
      </w:pPr>
      <w:r>
        <w:rPr>
          <w:rFonts w:ascii="Calibri" w:cs="Calibri" w:eastAsia="Calibri" w:hAnsi="Calibri"/>
          <w:sz w:val="22"/>
          <w:szCs w:val="22"/>
        </w:rPr>
        <w:t xml:space="preserve"/>
      </w:r>
    </w:p>
    <w:p>
      <w:pPr>
        <w:spacing w:after="120"/>
        <w:jc w:val="both"/>
      </w:pPr>
      <w:r>
        <w:rPr>
          <w:rFonts w:ascii="Calibri" w:cs="Calibri" w:eastAsia="Calibri" w:hAnsi="Calibri"/>
          <w:i/>
          <w:iCs/>
          <w:sz w:val="18"/>
          <w:szCs w:val="18"/>
        </w:rPr>
        <w:t xml:space="preserve">Образец заполнен условными данными: эмитент, номер выпуска, ISIN, счёт депо и депозитарий вымышлены. Проценты по статье 395 ГК РФ рассчитаны по ключевой ставке Банка России, действовавшей в соответствующие периоды; в своём иске пересчитайте их на дату подачи.</w:t>
      </w:r>
    </w:p>
    <w:sectPr>
      <w:footerReference w:type="default" r:id="rId7"/>
      <w:pgSz w:w="11906" w:h="16838" w:orient="portrait"/>
      <w:pgMar w:top="1134" w:right="850"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isk-vladelca-obligaciy-k-emitentu-obrazec</dc:title>
  <dc:creator>AllContract.ru</dc:creator>
  <cp:lastModifiedBy>Un-named</cp:lastModifiedBy>
  <cp:revision>1</cp:revision>
  <dcterms:created xsi:type="dcterms:W3CDTF">2026-09-17T14:27:32.032Z</dcterms:created>
  <dcterms:modified xsi:type="dcterms:W3CDTF">2026-09-17T14:27:32.032Z</dcterms:modified>
</cp:coreProperties>
</file>

<file path=docProps/custom.xml><?xml version="1.0" encoding="utf-8"?>
<Properties xmlns="http://schemas.openxmlformats.org/officeDocument/2006/custom-properties" xmlns:vt="http://schemas.openxmlformats.org/officeDocument/2006/docPropsVTypes"/>
</file>