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УТВЕРЖДАЮ</w:t>
      </w:r>
    </w:p>
    <w:p>
      <w:pPr>
        <w:spacing w:after="40" w:before="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Генеральный директор</w:t>
      </w:r>
    </w:p>
    <w:p>
      <w:pPr>
        <w:spacing w:after="40" w:before="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</w:t>
      </w:r>
    </w:p>
    <w:p>
      <w:pPr>
        <w:spacing w:after="40" w:before="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(наименование организации)</w:t>
      </w:r>
    </w:p>
    <w:p>
      <w:pPr>
        <w:spacing w:after="40" w:before="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/ ____________ /</w:t>
      </w:r>
    </w:p>
    <w:p>
      <w:pPr>
        <w:spacing w:after="40" w:before="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(подпись)        (Ф.И.О.)</w:t>
      </w:r>
    </w:p>
    <w:p>
      <w:pPr>
        <w:spacing w:after="40" w:before="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______________ 20__ г.</w:t>
      </w:r>
    </w:p>
    <w:p>
      <w:pPr>
        <w:spacing w:after="240" w:before="0" w:line="276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</w:t>
      </w:r>
    </w:p>
    <w:p>
      <w:pPr>
        <w:spacing w:after="240" w:before="24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ПОЛОЖЕНИЕ</w:t>
      </w:r>
    </w:p>
    <w:p>
      <w:pPr>
        <w:spacing w:after="120" w:before="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 оплате труда работников</w:t>
      </w:r>
    </w:p>
    <w:p>
      <w:pPr>
        <w:spacing w:after="120" w:before="0" w:line="276"/>
        <w:jc w:val="center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</w:t>
      </w:r>
    </w:p>
    <w:p>
      <w:pPr>
        <w:spacing w:after="60" w:before="0" w:line="240"/>
        <w:jc w:val="center"/>
      </w:pPr>
      <w:r>
        <w:rPr>
          <w:rFonts w:ascii="Cambria" w:cs="Cambria" w:eastAsia="Cambria" w:hAnsi="Cambria"/>
          <w:i/>
          <w:iCs/>
          <w:color w:val="7F7F7F"/>
          <w:sz w:val="18"/>
          <w:szCs w:val="18"/>
        </w:rPr>
        <w:t xml:space="preserve">(наименование организации)</w:t>
      </w:r>
    </w:p>
    <w:p>
      <w:pPr>
        <w:spacing w:after="280" w:before="0" w:line="276"/>
        <w:jc w:val="center"/>
      </w:pPr>
      <w:r>
        <w:rPr>
          <w:rFonts w:ascii="Cambria" w:cs="Cambria" w:eastAsia="Cambria" w:hAnsi="Cambria"/>
          <w:sz w:val="22"/>
          <w:szCs w:val="22"/>
        </w:rPr>
        <w:t xml:space="preserve">г. ____________________     «____» ______________ 20__ г.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Общие положения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Настоящее Положение об оплате труда работников ____________________________________ (далее — Положение) разработано в соответствии с Трудовым кодексом Российской Федерации, Налоговым кодексом Российской Федерации, иными нормативными правовыми актами Российской Федерации, отраслевыми соглашениями, коллективным договором (при его наличии) и устанавливает систему оплаты труда, размеры тарифных ставок, окладов, доплат, надбавок компенсационного и стимулирующего характера, премий и иных выплат, порядок и сроки выплаты заработной платы работникам организации.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 Настоящее Положение является локальным нормативным актом, обязательным для применения работодателем и работниками организации, и принято с учётом мнения представительного органа работников (при его наличии) в порядке, установленном ст. 372 ТК РФ.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 Целью Положения является закрепление прозрачных и обоснованных правил оплаты труда, обеспечение единого подхода к материальному стимулированию работников, повышение их заинтересованности в результатах труда, а также соблюдение требований ст. 135 ТК РФ.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1.4. Действие Положения распространяется на всех работников организации, состоящих с ней в трудовых отношениях, независимо от занимаемой должности, формы оплаты труда и режима рабочего времени.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1.5. Изменения и дополнения в настоящее Положение вносятся приказом работодателя с учётом мнения представительного органа работников. С новой редакцией Положения работники знакомятся под подпись.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Система оплаты труда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В организации применяются следующие системы оплаты труда: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повременная — для работников, оплата труда которых зависит от фактически отработанного времени и установленного оклада (тарифной ставки);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повременно-премиальная — повременная оплата с выплатой премии при выполнении установленных показателей премирования;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сдельная — для работников, оплата труда которых производится за фактически выполненный объём работ по установленным расценкам;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окладно-премиальная — оклад с выплатой премии в порядке, установленном настоящим Положением и Положением о премировании.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2.2. Конкретная система оплаты труда для работника устанавливается трудовым договором в соответствии с занимаемой должностью и штатным расписанием.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2.3.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 (ст. 132 ТК РФ).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Должностные оклады и тарифные ставки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 Размеры должностных окладов (тарифных ставок) устанавливаются штатным расписанием, утверждаемым приказом работодателя, и закрепляются в трудовых договорах с работниками.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 Ориентировочные диапазоны должностных окладов по категориям работников приведены в таблице:</w:t>
      </w:r>
    </w:p>
    <w:tbl>
      <w:tblPr>
        <w:tblW w:type="dxa" w:w="9026"/>
        <w:tblBorders>
          <w:top w:val="single" w:color="7F7F7F" w:sz="4"/>
          <w:left w:val="single" w:color="7F7F7F" w:sz="4"/>
          <w:bottom w:val="single" w:color="7F7F7F" w:sz="4"/>
          <w:right w:val="single" w:color="7F7F7F" w:sz="4"/>
          <w:insideH w:val="single" w:color="7F7F7F" w:sz="4"/>
          <w:insideV w:val="single" w:color="7F7F7F" w:sz="4"/>
        </w:tblBorders>
      </w:tblPr>
      <w:tblGrid>
        <w:gridCol w:w="4964"/>
        <w:gridCol w:w="4062"/>
      </w:tblGrid>
      <w:tr>
        <w:trPr>
          <w:tblHeader/>
        </w:trPr>
        <w:tc>
          <w:tcPr>
            <w:tcW w:type="dxa" w:w="4964"/>
            <w:shd w:fill="E2EFD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Категория должностей</w:t>
            </w:r>
          </w:p>
        </w:tc>
        <w:tc>
          <w:tcPr>
            <w:tcW w:type="dxa" w:w="4062"/>
            <w:shd w:fill="E2EFDA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Диапазон оклада, руб./мес.</w:t>
            </w:r>
          </w:p>
        </w:tc>
      </w:tr>
      <w:tr>
        <w:tc>
          <w:tcPr>
            <w:tcW w:type="dxa" w:w="496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Руководители (генеральный директор, заместители, директора департаментов)</w:t>
            </w:r>
          </w:p>
        </w:tc>
        <w:tc>
          <w:tcPr>
            <w:tcW w:type="dxa" w:w="406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от 90 000 до 250 000</w:t>
            </w:r>
          </w:p>
        </w:tc>
      </w:tr>
      <w:tr>
        <w:tc>
          <w:tcPr>
            <w:tcW w:type="dxa" w:w="496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Главные специалисты и руководители подразделений</w:t>
            </w:r>
          </w:p>
        </w:tc>
        <w:tc>
          <w:tcPr>
            <w:tcW w:type="dxa" w:w="406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от 70 000 до 150 000</w:t>
            </w:r>
          </w:p>
        </w:tc>
      </w:tr>
      <w:tr>
        <w:tc>
          <w:tcPr>
            <w:tcW w:type="dxa" w:w="496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Специалисты (бухгалтер, юрист, менеджер, инженер)</w:t>
            </w:r>
          </w:p>
        </w:tc>
        <w:tc>
          <w:tcPr>
            <w:tcW w:type="dxa" w:w="406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от 45 000 до 110 000</w:t>
            </w:r>
          </w:p>
        </w:tc>
      </w:tr>
      <w:tr>
        <w:tc>
          <w:tcPr>
            <w:tcW w:type="dxa" w:w="496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Технические исполнители (секретарь, делопроизводитель, оператор)</w:t>
            </w:r>
          </w:p>
        </w:tc>
        <w:tc>
          <w:tcPr>
            <w:tcW w:type="dxa" w:w="406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от 30 000 до 55 000</w:t>
            </w:r>
          </w:p>
        </w:tc>
      </w:tr>
      <w:tr>
        <w:tc>
          <w:tcPr>
            <w:tcW w:type="dxa" w:w="4964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Рабочие, обслуживающий персонал</w:t>
            </w:r>
          </w:p>
        </w:tc>
        <w:tc>
          <w:tcPr>
            <w:tcW w:type="dxa" w:w="406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от 27 093 до 65 000</w:t>
            </w:r>
          </w:p>
        </w:tc>
      </w:tr>
    </w:tbl>
    <w:p>
      <w:pPr>
        <w:spacing w:after="80" w:before="14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 Конкретный размер оклада в пределах диапазона определяется с учётом квалификации работника, уровня образования, стажа и сложности выполняемых задач.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3.4. Размеры окладов пересматриваются при изменении штатного расписания, должностных обязанностей работника, перевода на другую должность, а также при индексации заработной платы в связи с ростом потребительских цен (ст. 134 ТК РФ).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3.5. Индексация заработной платы проводится не реже одного раза в год на основании приказа работодателя с применением индекса потребительских цен по данным Росстата или иного экономически обоснованного показателя, согласованного с представительным органом работников.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Доплаты и надбавки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 Работникам устанавливаются следующие компенсационные выплаты, предусмотренные Трудовым кодексом Российской Федерации: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4.1.1. За работу в ночное время (с 22:00 до 06:00) — в размере 20% часовой тарифной ставки (оклада, рассчитанного за час работы) за каждый час работы в ночное время (ст. 154 ТК РФ).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4.1.2. За работу в выходные и нерабочие праздничные дни — в двойном размере. По желанию работника, работавшего в выходной или нерабочий праздничный день, ему может быть предоставлен другой день отдыха; в этом случае работа оплачивается в одинарном размере (ст. 153 ТК РФ).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4.1.3. За сверхурочную работу — за первые два часа работы в полуторном размере, за последующие часы — в двойном размере (ст. 152 ТК РФ). По желанию работника сверхурочная работа вместо повышенной оплаты может компенсироваться дополнительным временем отдыха.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4.1.4. За совмещение профессий (должностей), расширение зон обслуживания, увеличение объёма работы или исполнение обязанностей временно отсутствующего работника без освобождения от своей основной работы — в размере, устанавливаемом по соглашению сторон трудового договора (ст. 151 ТК РФ).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4.1.5. За работу с вредными и (или) опасными условиями труда — в размере не менее 4% оклада (тарифной ставки), установленного для работ с нормальными условиями труда, по результатам специальной оценки условий труда (ст. 147 ТК РФ).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4.1.6. За работу в особых климатических условиях, в районах Крайнего Севера и приравненных к ним местностях — с применением районных коэффициентов и процентных надбавок к заработной плате в размерах, установленных федеральным и региональным законодательством (ст. 148, 316 ТК РФ).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4.2. По решению работодателя работникам могут устанавливаться стимулирующие надбавки за высокую квалификацию, за стаж работы в организации, за наставничество, за знание иностранного языка и иные надбавки, размеры и условия выплаты которых определяются приказом работодателя.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Премиальные выплаты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 В целях повышения материальной заинтересованности работников в результатах труда работодатель устанавливает систему премирования: ежемесячные, квартальные, годовые и разовые премии.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 Конкретные виды премий, показатели и условия премирования, размеры премий, порядок начисления и выплаты, а также основания для снижения размера премии или лишения премии устанавливаются Положением о премировании работников, являющимся приложением к настоящему Положению (либо самостоятельным локальным нормативным актом работодателя).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5.3. Премия не является гарантированной частью заработной платы и выплачивается при выполнении установленных показателей и наличии у работодателя финансовых средств.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Сроки и порядок выплаты заработной платы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 Заработная плата выплачивается работникам не реже чем каждые полмесяца в следующие сроки (ст. 136 ТК РФ):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25-го числа текущего месяца — заработная плата за первую половину месяца (аванс);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10-го числа месяца, следующего за расчётным, — окончательный расчёт за отработанный месяц.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 При совпадении дня выплаты с выходным или нерабочим праздничным днём выплата заработной платы производится накануне этого дня.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 Заработная плата перечисляется на банковский счёт работника, указанный в заявлении, либо выплачивается через кассу организации по заявлению работника. Расходы, связанные с перечислением заработной платы на банковский счёт, несёт работодатель.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 При выплате заработной платы работодатель в письменной форме извещает каждого работника о составных частях заработной платы, размерах иных сумм, начисленных работнику, размерах и основаниях произведённых удержаний, а также об общей денежной сумме, подлежащей выплате (расчётный листок). Форма расчётного листка утверждается работодателем с учётом мнения представительного органа работников.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6.5. Оплата отпуска производится не позднее чем за три дня до его начала (ст. 136 ТК РФ).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Удержания из заработной платы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 Из заработной платы работников производятся удержания, предусмотренные федеральными законами: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налог на доходы физических лиц (НДФЛ) по ставкам, установленным главой 23 НК РФ;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суммы по исполнительным документам (алименты, возмещение вреда и иные взыскания);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возмещение материального ущерба, причинённого работодателю, в порядке, установленном главой 39 ТК РФ;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суммы недостач и излишне выплаченные работнику в результате счётных ошибок (ст. 137 ТК РФ).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7.2. Общий размер всех удержаний при каждой выплате заработной платы не может превышать 20%, а в случаях, предусмотренных федеральными законами, — 50% заработной платы, причитающейся работнику. При удержании по нескольким исполнительным документам за работником должно быть сохранено не менее 50% заработной платы. Ограничения не распространяются на удержания при отбывании исправительных работ, взыскании алиментов на несовершеннолетних детей, возмещении вреда, причинённого здоровью, и в иных случаях, предусмотренных федеральным законом, — в этих случаях размер удержаний не может превышать 70% (ст. 138 ТК РФ).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Оплата труда при отклонениях от нормальных условий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8.1. За время ежегодного оплачиваемого отпуска работнику выплачивается средний заработок, исчисленный в порядке, установленном ст. 139 ТК РФ и Положением об особенностях порядка исчисления средней заработной платы (постановление Правительства РФ от 24.12.2007 № 922).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 За период служебной командировки за работником сохраняется место работы (должность) и средний заработок. Возмещение командировочных расходов производится в порядке, установленном Положением о служебных командировках работодателя и ст. 167–168 ТК РФ.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8.3. Время простоя по вине работодателя оплачивается в размере не менее двух третей средней заработной платы работника; по причинам, не зависящим от работодателя и работника, — в размере не менее двух третей тарифной ставки (оклада), рассчитанных пропорционально времени простоя; по вине работника — не оплачивается (ст. 157 ТК РФ).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8.4. За период временной нетрудоспособности работнику выплачивается пособие за счёт средств Социального фонда России в порядке, установленном Федеральным законом от 29.12.2006 № 255-ФЗ. За первые три дня болезни пособие выплачивается за счёт средств работодателя.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8.5. В иных случаях, предусмотренных Трудовым кодексом Российской Федерации (медицинские осмотры, повышение квалификации, исполнение государственных обязанностей и др.), за работником сохраняется средний заработок в порядке, установленном законодательством.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Минимальный размер оплаты труда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9.1.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законом (ст. 133 ТК РФ).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9.2. С 1 января 2026 года федеральный минимальный размер оплаты труда составляет 27 093 рубля в месяц. В случае установления федеральным законом, региональным соглашением или иными нормативными правовыми актами иного размера МРОТ работодатель применяет наибольший из действующих показателей.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 В состав заработной платы, сравниваемой с МРОТ, включаются все начисления работнику, за исключением районных коэффициентов и процентных надбавок за работу в районах Крайнего Севера и приравненных к ним местностях, которые начисляются сверх МРОТ.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Ответственность работодателя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10.1. При нарушении работодателем установленного срока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1/150 действующей в это время ключевой ставки Центрального банка Российской Федерации от не выплаченных в срок сумм за каждый день задержки, начиная со следующего дня после установленного срока выплаты по день фактического расчёта включительно (ст. 236 ТК РФ).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10.2. Обязанность работодателя по выплате указанной компенсации возникает независимо от наличия его вины.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10.3. За нарушение трудового законодательства в части оплаты труда работодатель и его должностные лица привлекаются к административной ответственности по ст. 5.27 КоАП РФ, а при наличии оснований — к уголовной ответственности по ст. 145.1 УК РФ.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Заключительные положения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 Настоящее Положение вступает в силу с момента его утверждения работодателем и действует до его отмены или замены новым.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11.2. С настоящим Положением работодатель знакомит каждого работника под подпись при приёме на работу (до подписания трудового договора), а также при внесении изменений и дополнений в Положение.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11.3. Все вопросы, не урегулированные настоящим Положением, разрешаются в соответствии с действующим законодательством Российской Федерации, коллективным договором и иными локальными нормативными актами работодателя.</w:t>
      </w:r>
    </w:p>
    <w:p>
      <w:pPr>
        <w:spacing w:after="100" w:before="20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Согласовано: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Представитель работников ____________________ / ______________________ /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______________ 20__ г.</w:t>
      </w:r>
    </w:p>
    <w:p>
      <w:pPr>
        <w:spacing w:after="100" w:before="20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 Положением ознакомлены: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№ п/п   Ф.И.О. работника   Должность   Дата   Подпись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 ______________________ ______________ __________ ____________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 ______________________ ______________ __________ ____________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 ______________________ ______________ __________ 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оплате труда</dc:title>
  <dc:creator>AllContract.ru</dc:creator>
  <dc:description>Шаблон положения об оплате труда работников (2026)</dc:description>
  <cp:lastModifiedBy>Un-named</cp:lastModifiedBy>
  <cp:revision>1</cp:revision>
  <dcterms:created xsi:type="dcterms:W3CDTF">2026-05-13T16:17:18.685Z</dcterms:created>
  <dcterms:modified xsi:type="dcterms:W3CDTF">2026-05-13T16:17:18.685Z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