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7076"/>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76"/>
      </w:tblGrid>
      <w:tr>
        <w:trPr>
          <w:cantSplit/>
        </w:trPr>
        <w:tc>
          <w:tcPr>
            <w:tcW w:type="dxa" w:w="707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Общество с ограниченной ответственностью «Название»</w:t>
            </w:r>
          </w:p>
        </w:tc>
      </w:tr>
      <w:tr>
        <w:trPr>
          <w:cantSplit/>
        </w:trPr>
        <w:tc>
          <w:tcPr>
            <w:tcW w:type="dxa" w:w="707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полное наименование организации</w:t>
            </w:r>
          </w:p>
        </w:tc>
      </w:tr>
    </w:tbl>
    <w:tbl>
      <w:tblPr>
        <w:tblW w:type="dxa" w:w="7076"/>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1"/>
        <w:gridCol w:w="2123"/>
        <w:gridCol w:w="744"/>
        <w:gridCol w:w="3568"/>
      </w:tblGrid>
      <w:tr>
        <w:trPr>
          <w:cantSplit/>
        </w:trPr>
        <w:tc>
          <w:tcPr>
            <w:tcW w:type="dxa" w:w="64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ИНН</w:t>
            </w:r>
          </w:p>
        </w:tc>
        <w:tc>
          <w:tcPr>
            <w:tcW w:type="dxa" w:w="212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center"/>
            </w:pPr>
            <w:r>
              <w:rPr>
                <w:rFonts w:ascii="Times New Roman" w:cs="Times New Roman" w:eastAsia="Times New Roman" w:hAnsi="Times New Roman"/>
                <w:sz w:val="24"/>
                <w:szCs w:val="24"/>
              </w:rPr>
              <w:t xml:space="preserve">4826123456</w:t>
            </w:r>
          </w:p>
        </w:tc>
        <w:tc>
          <w:tcPr>
            <w:tcW w:type="dxa" w:w="74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ОГРН</w:t>
            </w:r>
          </w:p>
        </w:tc>
        <w:tc>
          <w:tcPr>
            <w:tcW w:type="dxa" w:w="3568"/>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1164827054321</w:t>
            </w:r>
          </w:p>
        </w:tc>
      </w:tr>
    </w:tbl>
    <w:tbl>
      <w:tblPr>
        <w:tblW w:type="dxa" w:w="7076"/>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76"/>
      </w:tblGrid>
      <w:tr>
        <w:trPr>
          <w:cantSplit/>
        </w:trPr>
        <w:tc>
          <w:tcPr>
            <w:tcW w:type="dxa" w:w="707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398024, г. Липецк, ул. Первомайская, д. 78, оф. 12</w:t>
            </w:r>
          </w:p>
        </w:tc>
      </w:tr>
      <w:tr>
        <w:trPr>
          <w:cantSplit/>
        </w:trPr>
        <w:tc>
          <w:tcPr>
            <w:tcW w:type="dxa" w:w="707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адрес места нахождения</w:t>
            </w:r>
          </w:p>
        </w:tc>
      </w:tr>
    </w:tbl>
    <w:tbl>
      <w:tblPr>
        <w:tblW w:type="dxa" w:w="7076"/>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7"/>
        <w:gridCol w:w="6569"/>
      </w:tblGrid>
      <w:tr>
        <w:trPr>
          <w:cantSplit/>
        </w:trPr>
        <w:tc>
          <w:tcPr>
            <w:tcW w:type="dxa" w:w="50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тел.</w:t>
            </w:r>
          </w:p>
        </w:tc>
        <w:tc>
          <w:tcPr>
            <w:tcW w:type="dxa" w:w="6569"/>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+7 (4742) 55-18-40</w:t>
            </w:r>
          </w:p>
        </w:tc>
      </w:tr>
    </w:tbl>
    <w:p>
      <w:pPr>
        <w:keepNext/>
        <w:spacing w:after="0" w:before="0" w:line="20" w:lineRule="exact"/>
      </w:pP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91"/>
        <w:gridCol w:w="1130"/>
        <w:gridCol w:w="334"/>
        <w:gridCol w:w="225"/>
        <w:gridCol w:w="471"/>
        <w:gridCol w:w="225"/>
        <w:gridCol w:w="1601"/>
        <w:gridCol w:w="753"/>
        <w:gridCol w:w="265"/>
        <w:gridCol w:w="3520"/>
      </w:tblGrid>
      <w:tr>
        <w:trPr>
          <w:cantSplit/>
        </w:trPr>
        <w:tc>
          <w:tcPr>
            <w:tcW w:type="dxa" w:w="891"/>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Исх. №</w:t>
            </w:r>
          </w:p>
        </w:tc>
        <w:tc>
          <w:tcPr>
            <w:tcW w:type="dxa" w:w="1130"/>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center"/>
            </w:pPr>
            <w:r>
              <w:rPr>
                <w:rFonts w:ascii="Times New Roman" w:cs="Times New Roman" w:eastAsia="Times New Roman" w:hAnsi="Times New Roman"/>
                <w:sz w:val="24"/>
                <w:szCs w:val="24"/>
              </w:rPr>
              <w:t xml:space="preserve">112</w:t>
            </w:r>
          </w:p>
        </w:tc>
        <w:tc>
          <w:tcPr>
            <w:tcW w:type="dxa" w:w="334"/>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от</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center"/>
            </w:pPr>
            <w:r>
              <w:rPr>
                <w:rFonts w:ascii="Times New Roman" w:cs="Times New Roman" w:eastAsia="Times New Roman" w:hAnsi="Times New Roman"/>
                <w:sz w:val="24"/>
                <w:szCs w:val="24"/>
              </w:rPr>
              <w:t xml:space="preserve">15</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center"/>
            </w:pPr>
            <w:r>
              <w:rPr>
                <w:rFonts w:ascii="Times New Roman" w:cs="Times New Roman" w:eastAsia="Times New Roman" w:hAnsi="Times New Roman"/>
                <w:sz w:val="24"/>
                <w:szCs w:val="24"/>
              </w:rPr>
              <w:t xml:space="preserve">сентября</w:t>
            </w:r>
          </w:p>
        </w:tc>
        <w:tc>
          <w:tcPr>
            <w:tcW w:type="dxa" w:w="75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center"/>
            </w:pPr>
            <w:r>
              <w:rPr>
                <w:rFonts w:ascii="Times New Roman" w:cs="Times New Roman" w:eastAsia="Times New Roman" w:hAnsi="Times New Roman"/>
                <w:sz w:val="24"/>
                <w:szCs w:val="24"/>
              </w:rPr>
              <w:t xml:space="preserve">2026</w:t>
            </w: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г.</w:t>
            </w:r>
          </w:p>
        </w:tc>
        <w:tc>
          <w:tcPr>
            <w:tcW w:type="dxa" w:w="3520"/>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p>
        </w:tc>
      </w:tr>
    </w:tbl>
    <w:p>
      <w:pPr>
        <w:spacing w:after="0" w:before="0" w:line="240" w:lineRule="exact"/>
      </w:pPr>
    </w:p>
    <w:p>
      <w:pPr>
        <w:keepNext/>
        <w:spacing w:after="240" w:before="0"/>
        <w:jc w:val="center"/>
      </w:pPr>
      <w:r>
        <w:rPr>
          <w:rFonts w:ascii="Times New Roman" w:cs="Times New Roman" w:eastAsia="Times New Roman" w:hAnsi="Times New Roman"/>
          <w:b/>
          <w:bCs/>
          <w:sz w:val="28"/>
          <w:szCs w:val="28"/>
        </w:rPr>
        <w:t xml:space="preserve">ХАРАКТЕРИСТИКА</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5"/>
        <w:gridCol w:w="8907"/>
        <w:gridCol w:w="163"/>
      </w:tblGrid>
      <w:tr>
        <w:trPr>
          <w:cantSplit/>
        </w:trPr>
        <w:tc>
          <w:tcPr>
            <w:tcW w:type="dxa" w:w="34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на</w:t>
            </w:r>
          </w:p>
        </w:tc>
        <w:tc>
          <w:tcPr>
            <w:tcW w:type="dxa" w:w="890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120"/>
              <w:jc w:val="left"/>
            </w:pPr>
            <w:r>
              <w:rPr>
                <w:rFonts w:ascii="Times New Roman" w:cs="Times New Roman" w:eastAsia="Times New Roman" w:hAnsi="Times New Roman"/>
                <w:sz w:val="24"/>
                <w:szCs w:val="24"/>
              </w:rPr>
              <w:t xml:space="preserve">водителя автомобиля Сазонова Виктора Николаевича</w:t>
            </w:r>
          </w:p>
        </w:tc>
        <w:tc>
          <w:tcPr>
            <w:tcW w:type="dxa" w:w="163"/>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120"/>
              <w:jc w:val="left"/>
            </w:pPr>
            <w:r>
              <w:rPr>
                <w:rFonts w:ascii="Times New Roman" w:cs="Times New Roman" w:eastAsia="Times New Roman" w:hAnsi="Times New Roman"/>
                <w:sz w:val="24"/>
                <w:szCs w:val="24"/>
              </w:rPr>
              <w:t xml:space="preserve">,</w:t>
            </w:r>
          </w:p>
        </w:tc>
      </w:tr>
      <w:tr>
        <w:trPr>
          <w:cantSplit/>
        </w:trPr>
        <w:tc>
          <w:tcPr>
            <w:tcW w:type="dxa" w:w="345"/>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8907"/>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должность, фамилия, имя, отчество работника</w:t>
            </w:r>
          </w:p>
        </w:tc>
        <w:tc>
          <w:tcPr>
            <w:tcW w:type="dxa" w:w="16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98"/>
        <w:gridCol w:w="5817"/>
      </w:tblGrid>
      <w:tr>
        <w:trPr>
          <w:cantSplit/>
        </w:trPr>
        <w:tc>
          <w:tcPr>
            <w:tcW w:type="dxa" w:w="359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120"/>
              <w:jc w:val="left"/>
            </w:pPr>
            <w:r>
              <w:rPr>
                <w:rFonts w:ascii="Times New Roman" w:cs="Times New Roman" w:eastAsia="Times New Roman" w:hAnsi="Times New Roman"/>
                <w:sz w:val="24"/>
                <w:szCs w:val="24"/>
              </w:rPr>
              <w:t xml:space="preserve">представляемого к награждению</w:t>
            </w:r>
          </w:p>
        </w:tc>
        <w:tc>
          <w:tcPr>
            <w:tcW w:type="dxa" w:w="5817"/>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120"/>
              <w:jc w:val="left"/>
            </w:pPr>
            <w:r>
              <w:rPr>
                <w:rFonts w:ascii="Times New Roman" w:cs="Times New Roman" w:eastAsia="Times New Roman" w:hAnsi="Times New Roman"/>
                <w:sz w:val="24"/>
                <w:szCs w:val="24"/>
              </w:rPr>
              <w:t xml:space="preserve">Почётной грамотой ООО «Название»</w:t>
            </w:r>
          </w:p>
        </w:tc>
      </w:tr>
    </w:tbl>
    <w:p>
      <w:pPr>
        <w:spacing w:after="0" w:before="0" w:line="240" w:lineRule="exact"/>
      </w:pPr>
    </w:p>
    <w:p>
      <w:pPr>
        <w:spacing w:after="160" w:before="0"/>
        <w:jc w:val="both"/>
      </w:pPr>
      <w:r>
        <w:rPr>
          <w:rFonts w:ascii="Times New Roman" w:cs="Times New Roman" w:eastAsia="Times New Roman" w:hAnsi="Times New Roman"/>
          <w:sz w:val="24"/>
          <w:szCs w:val="24"/>
        </w:rPr>
        <w:t xml:space="preserve">Сазонов Виктор Николаевич, 12 мая 1979 года рождения, работает в ООО «Название» с 3 апреля 2012 г. (приказ о приёме на работу № 41-к от 3 апреля 2012 г.) по настоящее время в должности водителя автомобиля транспортного отдела. Стаж работы в организации — 14 лет.</w:t>
      </w:r>
    </w:p>
    <w:p>
      <w:pPr>
        <w:spacing w:after="160" w:before="0"/>
        <w:jc w:val="both"/>
      </w:pPr>
      <w:r>
        <w:rPr>
          <w:rFonts w:ascii="Times New Roman" w:cs="Times New Roman" w:eastAsia="Times New Roman" w:hAnsi="Times New Roman"/>
          <w:sz w:val="24"/>
          <w:szCs w:val="24"/>
        </w:rPr>
        <w:t xml:space="preserve">Образование среднее профессиональное. Имеет водительское удостоверение категорий «B» и «C», управляет транспортными средствами с 1998 года. Закреплён за служебным легковым автомобилем, выполняет поездки с руководителями и специалистами организации по г. Липецку, Липецкой и Воронежской областям.</w:t>
      </w:r>
    </w:p>
    <w:p>
      <w:pPr>
        <w:spacing w:after="160" w:before="0"/>
        <w:jc w:val="both"/>
      </w:pPr>
      <w:r>
        <w:rPr>
          <w:rFonts w:ascii="Times New Roman" w:cs="Times New Roman" w:eastAsia="Times New Roman" w:hAnsi="Times New Roman"/>
          <w:sz w:val="24"/>
          <w:szCs w:val="24"/>
        </w:rPr>
        <w:t xml:space="preserve">За время работы в организации проехал на служебных автомобилях более 600 тыс. км без дорожно-транспортных происшествий по своей вине. Штрафов за нарушение Правил дорожного движения по закреплённому автомобилю за период его управления организации не поступало. Перед выездом проверяет техническое состояние автомобиля, своевременно направляет его на плановое техническое обслуживание. По итогам 2025 года фактический расход топлива оказался на 6 % ниже нормы, установленной в организации. В 2024 году был наставником двух вновь принятых водителей.</w:t>
      </w:r>
    </w:p>
    <w:p>
      <w:pPr>
        <w:spacing w:after="160" w:before="0"/>
        <w:jc w:val="both"/>
      </w:pPr>
      <w:r>
        <w:rPr>
          <w:rFonts w:ascii="Times New Roman" w:cs="Times New Roman" w:eastAsia="Times New Roman" w:hAnsi="Times New Roman"/>
          <w:sz w:val="24"/>
          <w:szCs w:val="24"/>
        </w:rPr>
        <w:t xml:space="preserve">Поощрения: объявлена благодарность за безаварийную работу (приказ № 18-п от 20 октября 2020 г.); выплачена премия по итогам 2024 года (приказ № 7-п от 24 января 2025 г.). Дисциплинарных взысканий не имеет.</w:t>
      </w:r>
    </w:p>
    <w:p>
      <w:pPr>
        <w:spacing w:after="160" w:before="0"/>
        <w:jc w:val="both"/>
      </w:pPr>
      <w:r>
        <w:rPr>
          <w:rFonts w:ascii="Times New Roman" w:cs="Times New Roman" w:eastAsia="Times New Roman" w:hAnsi="Times New Roman"/>
          <w:sz w:val="24"/>
          <w:szCs w:val="24"/>
        </w:rPr>
        <w:t xml:space="preserve">Пунктуален, выезжает строго ко времени, по договорённости с руководством выполняет и ранние выезды в командировки. В коллективе пользуется уважением, конфликтов с коллегами и пассажирами не допускал. Правила внутреннего трудового распорядка соблюдает.</w:t>
      </w:r>
    </w:p>
    <w:p>
      <w:pPr>
        <w:keepNext/>
        <w:spacing w:after="120" w:before="0"/>
        <w:jc w:val="both"/>
      </w:pPr>
      <w:r>
        <w:rPr>
          <w:rFonts w:ascii="Times New Roman" w:cs="Times New Roman" w:eastAsia="Times New Roman" w:hAnsi="Times New Roman"/>
          <w:sz w:val="24"/>
          <w:szCs w:val="24"/>
        </w:rPr>
        <w:t xml:space="preserve">За многолетний добросовестный труд и безаварийную работу Сазонов В. Н. заслуживает награждения Почётной грамотой ООО «Название».</w:t>
      </w:r>
    </w:p>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66"/>
        <w:gridCol w:w="282"/>
        <w:gridCol w:w="1883"/>
        <w:gridCol w:w="282"/>
        <w:gridCol w:w="3202"/>
      </w:tblGrid>
      <w:tr>
        <w:trPr>
          <w:cantSplit/>
        </w:trPr>
        <w:tc>
          <w:tcPr>
            <w:tcW w:type="dxa" w:w="376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r>
              <w:rPr>
                <w:rFonts w:ascii="Times New Roman" w:cs="Times New Roman" w:eastAsia="Times New Roman" w:hAnsi="Times New Roman"/>
                <w:sz w:val="24"/>
                <w:szCs w:val="24"/>
              </w:rPr>
              <w:t xml:space="preserve">Генеральный директор</w:t>
            </w: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c>
          <w:tcPr>
            <w:tcW w:type="dxa" w:w="188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c>
          <w:tcPr>
            <w:tcW w:type="dxa" w:w="320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r>
              <w:rPr>
                <w:rFonts w:ascii="Times New Roman" w:cs="Times New Roman" w:eastAsia="Times New Roman" w:hAnsi="Times New Roman"/>
                <w:sz w:val="24"/>
                <w:szCs w:val="24"/>
              </w:rPr>
              <w:t xml:space="preserve">А. Л. Мещеряков</w:t>
            </w:r>
          </w:p>
        </w:tc>
      </w:tr>
      <w:tr>
        <w:trPr>
          <w:cantSplit/>
        </w:trPr>
        <w:tc>
          <w:tcPr>
            <w:tcW w:type="dxa" w:w="376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188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подпись</w:t>
            </w: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320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фамилия и инициалы</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66"/>
        <w:gridCol w:w="282"/>
        <w:gridCol w:w="1883"/>
        <w:gridCol w:w="282"/>
        <w:gridCol w:w="3202"/>
      </w:tblGrid>
      <w:tr>
        <w:trPr>
          <w:cantSplit/>
        </w:trPr>
        <w:tc>
          <w:tcPr>
            <w:tcW w:type="dxa" w:w="3766"/>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r>
              <w:rPr>
                <w:rFonts w:ascii="Times New Roman" w:cs="Times New Roman" w:eastAsia="Times New Roman" w:hAnsi="Times New Roman"/>
                <w:sz w:val="24"/>
                <w:szCs w:val="24"/>
              </w:rPr>
              <w:t xml:space="preserve">Начальник транспортного отдела</w:t>
            </w: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c>
          <w:tcPr>
            <w:tcW w:type="dxa" w:w="188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Next/>
              <w:keepLines/>
              <w:spacing w:after="0" w:before="240"/>
              <w:jc w:val="left"/>
            </w:pPr>
          </w:p>
        </w:tc>
        <w:tc>
          <w:tcPr>
            <w:tcW w:type="dxa" w:w="3202"/>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Next/>
              <w:keepLines/>
              <w:spacing w:after="0" w:before="240"/>
              <w:jc w:val="left"/>
            </w:pPr>
            <w:r>
              <w:rPr>
                <w:rFonts w:ascii="Times New Roman" w:cs="Times New Roman" w:eastAsia="Times New Roman" w:hAnsi="Times New Roman"/>
                <w:sz w:val="24"/>
                <w:szCs w:val="24"/>
              </w:rPr>
              <w:t xml:space="preserve">О. В. Ракитин</w:t>
            </w:r>
          </w:p>
        </w:tc>
      </w:tr>
      <w:tr>
        <w:trPr>
          <w:cantSplit/>
        </w:trPr>
        <w:tc>
          <w:tcPr>
            <w:tcW w:type="dxa" w:w="3766"/>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1883"/>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подпись</w:t>
            </w:r>
          </w:p>
        </w:tc>
        <w:tc>
          <w:tcPr>
            <w:tcW w:type="dxa" w:w="28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p>
        </w:tc>
        <w:tc>
          <w:tcPr>
            <w:tcW w:type="dxa" w:w="3202"/>
            <w:tcBorders>
              <w:top w:val="none" w:color="FFFFFF" w:sz="0"/>
              <w:left w:val="none" w:color="FFFFFF" w:sz="0"/>
              <w:bottom w:val="none" w:color="FFFFFF" w:sz="0"/>
              <w:right w:val="none" w:color="FFFFFF" w:sz="0"/>
            </w:tcBorders>
            <w:tcMar>
              <w:top w:type="dxa" w:w="0"/>
              <w:left w:type="dxa" w:w="30"/>
              <w:bottom w:type="dxa" w:w="0"/>
              <w:right w:type="dxa" w:w="30"/>
            </w:tcMar>
          </w:tcPr>
          <w:p>
            <w:pPr>
              <w:pStyle w:val="BlankField"/>
              <w:keepNext/>
              <w:keepLines/>
              <w:spacing w:after="0" w:before="0"/>
              <w:jc w:val="center"/>
            </w:pPr>
            <w:r>
              <w:rPr>
                <w:rFonts w:ascii="Times New Roman" w:cs="Times New Roman" w:eastAsia="Times New Roman" w:hAnsi="Times New Roman"/>
                <w:color w:val="555555"/>
                <w:sz w:val="16"/>
                <w:szCs w:val="16"/>
              </w:rPr>
              <w:t xml:space="preserve">фамилия и инициалы</w:t>
            </w:r>
          </w:p>
        </w:tc>
      </w:tr>
    </w:tbl>
    <w:tbl>
      <w:tblPr>
        <w:tblW w:type="dxa" w:w="9415"/>
        <w:tblInd w:type="dxa" w:w="-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5"/>
        <w:gridCol w:w="471"/>
        <w:gridCol w:w="225"/>
        <w:gridCol w:w="1601"/>
        <w:gridCol w:w="753"/>
        <w:gridCol w:w="265"/>
        <w:gridCol w:w="5248"/>
        <w:gridCol w:w="627"/>
      </w:tblGrid>
      <w:tr>
        <w:trPr>
          <w:cantSplit/>
        </w:trPr>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240"/>
              <w:jc w:val="left"/>
            </w:pPr>
            <w:r>
              <w:rPr>
                <w:rFonts w:ascii="Times New Roman" w:cs="Times New Roman" w:eastAsia="Times New Roman" w:hAnsi="Times New Roman"/>
                <w:sz w:val="24"/>
                <w:szCs w:val="24"/>
              </w:rPr>
              <w:t xml:space="preserve">«</w:t>
            </w:r>
          </w:p>
        </w:tc>
        <w:tc>
          <w:tcPr>
            <w:tcW w:type="dxa" w:w="47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240"/>
              <w:jc w:val="center"/>
            </w:pPr>
            <w:r>
              <w:rPr>
                <w:rFonts w:ascii="Times New Roman" w:cs="Times New Roman" w:eastAsia="Times New Roman" w:hAnsi="Times New Roman"/>
                <w:sz w:val="24"/>
                <w:szCs w:val="24"/>
              </w:rPr>
              <w:t xml:space="preserve">15</w:t>
            </w:r>
          </w:p>
        </w:tc>
        <w:tc>
          <w:tcPr>
            <w:tcW w:type="dxa" w:w="22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240"/>
              <w:jc w:val="left"/>
            </w:pPr>
            <w:r>
              <w:rPr>
                <w:rFonts w:ascii="Times New Roman" w:cs="Times New Roman" w:eastAsia="Times New Roman" w:hAnsi="Times New Roman"/>
                <w:sz w:val="24"/>
                <w:szCs w:val="24"/>
              </w:rPr>
              <w:t xml:space="preserve">»</w:t>
            </w:r>
          </w:p>
        </w:tc>
        <w:tc>
          <w:tcPr>
            <w:tcW w:type="dxa" w:w="1601"/>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240"/>
              <w:jc w:val="center"/>
            </w:pPr>
            <w:r>
              <w:rPr>
                <w:rFonts w:ascii="Times New Roman" w:cs="Times New Roman" w:eastAsia="Times New Roman" w:hAnsi="Times New Roman"/>
                <w:sz w:val="24"/>
                <w:szCs w:val="24"/>
              </w:rPr>
              <w:t xml:space="preserve">сентября</w:t>
            </w:r>
          </w:p>
        </w:tc>
        <w:tc>
          <w:tcPr>
            <w:tcW w:type="dxa" w:w="753"/>
            <w:tcBorders>
              <w:top w:val="none" w:color="FFFFFF" w:sz="0"/>
              <w:left w:val="none" w:color="FFFFFF" w:sz="0"/>
              <w:bottom w:val="single" w:color="000000" w:sz="4"/>
              <w:right w:val="none" w:color="FFFFFF" w:sz="0"/>
            </w:tcBorders>
            <w:tcMar>
              <w:top w:type="dxa" w:w="0"/>
              <w:left w:type="dxa" w:w="30"/>
              <w:bottom w:type="dxa" w:w="0"/>
              <w:right w:type="dxa" w:w="30"/>
            </w:tcMar>
            <w:vAlign w:val="bottom"/>
          </w:tcPr>
          <w:p>
            <w:pPr>
              <w:pStyle w:val="BlankField"/>
              <w:keepLines/>
              <w:spacing w:after="0" w:before="240"/>
              <w:jc w:val="center"/>
            </w:pPr>
            <w:r>
              <w:rPr>
                <w:rFonts w:ascii="Times New Roman" w:cs="Times New Roman" w:eastAsia="Times New Roman" w:hAnsi="Times New Roman"/>
                <w:sz w:val="24"/>
                <w:szCs w:val="24"/>
              </w:rPr>
              <w:t xml:space="preserve">2026</w:t>
            </w:r>
          </w:p>
        </w:tc>
        <w:tc>
          <w:tcPr>
            <w:tcW w:type="dxa" w:w="265"/>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240"/>
              <w:jc w:val="left"/>
            </w:pPr>
            <w:r>
              <w:rPr>
                <w:rFonts w:ascii="Times New Roman" w:cs="Times New Roman" w:eastAsia="Times New Roman" w:hAnsi="Times New Roman"/>
                <w:sz w:val="24"/>
                <w:szCs w:val="24"/>
              </w:rPr>
              <w:t xml:space="preserve">г.</w:t>
            </w:r>
          </w:p>
        </w:tc>
        <w:tc>
          <w:tcPr>
            <w:tcW w:type="dxa" w:w="5248"/>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240"/>
              <w:jc w:val="left"/>
            </w:pPr>
          </w:p>
        </w:tc>
        <w:tc>
          <w:tcPr>
            <w:tcW w:type="dxa" w:w="627"/>
            <w:tcBorders>
              <w:top w:val="none" w:color="FFFFFF" w:sz="0"/>
              <w:left w:val="none" w:color="FFFFFF" w:sz="0"/>
              <w:bottom w:val="none" w:color="FFFFFF" w:sz="0"/>
              <w:right w:val="none" w:color="FFFFFF" w:sz="0"/>
            </w:tcBorders>
            <w:tcMar>
              <w:top w:type="dxa" w:w="0"/>
              <w:left w:type="dxa" w:w="30"/>
              <w:bottom w:type="dxa" w:w="0"/>
              <w:right w:type="dxa" w:w="30"/>
            </w:tcMar>
            <w:vAlign w:val="top"/>
          </w:tcPr>
          <w:p>
            <w:pPr>
              <w:pStyle w:val="BlankField"/>
              <w:keepLines/>
              <w:spacing w:after="0" w:before="240"/>
              <w:jc w:val="left"/>
            </w:pPr>
            <w:r>
              <w:rPr>
                <w:rFonts w:ascii="Times New Roman" w:cs="Times New Roman" w:eastAsia="Times New Roman" w:hAnsi="Times New Roman"/>
                <w:sz w:val="24"/>
                <w:szCs w:val="24"/>
              </w:rPr>
              <w:t xml:space="preserve">М.П.</w:t>
            </w:r>
          </w:p>
        </w:tc>
      </w:tr>
    </w:tbl>
    <w:p>
      <w:pPr>
        <w:sectPr>
          <w:footerReference w:type="default" r:id="rId7"/>
          <w:pgSz w:w="11906" w:h="16838" w:orient="portrait"/>
          <w:pgMar w:top="1134" w:right="850" w:bottom="1134" w:left="1701" w:header="708" w:footer="708" w:gutter="0"/>
          <w:pgNumType/>
          <w:docGrid w:linePitch="360"/>
        </w:sectPr>
      </w:pPr>
    </w:p>
    <w:p>
      <w:pPr>
        <w:keepNext/>
        <w:spacing w:after="240" w:before="0"/>
        <w:jc w:val="center"/>
      </w:pPr>
      <w:r>
        <w:rPr>
          <w:rFonts w:ascii="Times New Roman" w:cs="Times New Roman" w:eastAsia="Times New Roman" w:hAnsi="Times New Roman"/>
          <w:b/>
          <w:bCs/>
          <w:sz w:val="28"/>
          <w:szCs w:val="28"/>
        </w:rPr>
        <w:t xml:space="preserve">Справочно: блок трудовых заслуг для других должностей</w:t>
      </w:r>
    </w:p>
    <w:p>
      <w:pPr>
        <w:spacing w:after="120" w:before="0"/>
        <w:jc w:val="both"/>
      </w:pPr>
      <w:r>
        <w:rPr>
          <w:rFonts w:ascii="Times New Roman" w:cs="Times New Roman" w:eastAsia="Times New Roman" w:hAnsi="Times New Roman"/>
          <w:i/>
          <w:iCs/>
          <w:sz w:val="24"/>
          <w:szCs w:val="24"/>
        </w:rPr>
        <w:t xml:space="preserve">В характеристику не переносится. Заменяет абзац о заслугах водителя, остальные блоки документа остаются теми же.</w:t>
      </w:r>
    </w:p>
    <w:p>
      <w:pPr>
        <w:keepNext/>
        <w:keepLines/>
        <w:spacing w:after="0" w:before="200"/>
      </w:pPr>
      <w:r>
        <w:rPr>
          <w:rFonts w:ascii="Times New Roman" w:cs="Times New Roman" w:eastAsia="Times New Roman" w:hAnsi="Times New Roman"/>
          <w:b/>
          <w:bCs/>
          <w:sz w:val="24"/>
          <w:szCs w:val="24"/>
        </w:rPr>
        <w:t xml:space="preserve">Главный бухгалтер</w:t>
      </w:r>
    </w:p>
    <w:p>
      <w:pPr>
        <w:spacing w:after="120" w:before="0"/>
        <w:jc w:val="both"/>
      </w:pPr>
      <w:r>
        <w:rPr>
          <w:rFonts w:ascii="Times New Roman" w:cs="Times New Roman" w:eastAsia="Times New Roman" w:hAnsi="Times New Roman"/>
          <w:sz w:val="24"/>
          <w:szCs w:val="24"/>
        </w:rPr>
        <w:t xml:space="preserve">Работает главным бухгалтером с 2016 года. За это время организация прошла две выездные налоговые проверки без доначисления налогов. Бухгалтерская и налоговая отчётность сдаётся без нарушения сроков. В 2023 году перевела учёт на новую учётную программу без остановки расчётов с контрагентами и выплаты заработной платы.</w:t>
      </w:r>
    </w:p>
    <w:p>
      <w:pPr>
        <w:keepNext/>
        <w:keepLines/>
        <w:spacing w:after="0" w:before="200"/>
      </w:pPr>
      <w:r>
        <w:rPr>
          <w:rFonts w:ascii="Times New Roman" w:cs="Times New Roman" w:eastAsia="Times New Roman" w:hAnsi="Times New Roman"/>
          <w:b/>
          <w:bCs/>
          <w:sz w:val="24"/>
          <w:szCs w:val="24"/>
        </w:rPr>
        <w:t xml:space="preserve">Юрисконсульт</w:t>
      </w:r>
    </w:p>
    <w:p>
      <w:pPr>
        <w:spacing w:after="120" w:before="0"/>
        <w:jc w:val="both"/>
      </w:pPr>
      <w:r>
        <w:rPr>
          <w:rFonts w:ascii="Times New Roman" w:cs="Times New Roman" w:eastAsia="Times New Roman" w:hAnsi="Times New Roman"/>
          <w:sz w:val="24"/>
          <w:szCs w:val="24"/>
        </w:rPr>
        <w:t xml:space="preserve">За 2023–2025 годы представлял интересы организации в 37 судебных делах, по 31 из них решения приняты в пользу организации. В досудебном порядке добился погашения дебиторской задолженности на 4,2 млн руб. Разработал типовые формы договоров перевозки и поставки, по которым организация работает с 2024 года.</w:t>
      </w:r>
    </w:p>
    <w:p>
      <w:pPr>
        <w:keepNext/>
        <w:keepLines/>
        <w:spacing w:after="0" w:before="200"/>
      </w:pPr>
      <w:r>
        <w:rPr>
          <w:rFonts w:ascii="Times New Roman" w:cs="Times New Roman" w:eastAsia="Times New Roman" w:hAnsi="Times New Roman"/>
          <w:b/>
          <w:bCs/>
          <w:sz w:val="24"/>
          <w:szCs w:val="24"/>
        </w:rPr>
        <w:t xml:space="preserve">Руководитель подразделения</w:t>
      </w:r>
    </w:p>
    <w:p>
      <w:pPr>
        <w:spacing w:after="120" w:before="0"/>
        <w:jc w:val="both"/>
      </w:pPr>
      <w:r>
        <w:rPr>
          <w:rFonts w:ascii="Times New Roman" w:cs="Times New Roman" w:eastAsia="Times New Roman" w:hAnsi="Times New Roman"/>
          <w:sz w:val="24"/>
          <w:szCs w:val="24"/>
        </w:rPr>
        <w:t xml:space="preserve">Возглавляет Липецкий филиал с 2019 года. За это время годовая выручка филиала выросла со 118 до 176 млн руб., текучесть кадров снизилась с 21 до 9 %. Под его руководством филиал открыл два новых направления перевозок; несчастных случаев на производстве за весь период не было.</w:t>
      </w:r>
    </w:p>
    <w:sectPr>
      <w:footerReference w:type="default" r:id="rId8"/>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55555"/>
        <w:sz w:val="18"/>
        <w:szCs w:val="18"/>
      </w:rPr>
      <w:t xml:space="preserve">Страница </w:t>
      <w:fldChar w:fldCharType="begin"/>
      <w:instrText xml:space="preserve">PAGE</w:instrText>
      <w:fldChar w:fldCharType="separate"/>
      <w:fldChar w:fldCharType="end"/>
      <w:t xml:space="preserve"> из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55555"/>
        <w:sz w:val="18"/>
        <w:szCs w:val="18"/>
      </w:rPr>
      <w:t xml:space="preserve">Страница </w:t>
      <w:fldChar w:fldCharType="begin"/>
      <w:instrText xml:space="preserve">PAGE</w:instrText>
      <w:fldChar w:fldCharType="separate"/>
      <w:fldChar w:fldCharType="end"/>
      <w:t xml:space="preserve"> из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autoHyphenation/>
  <w:consecutiveHyphenLimit w:val="2"/>
  <w:doNotHyphenateCap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ru-RU"/>
      </w:rPr>
    </w:rPrDefault>
    <w:pPrDefault>
      <w:pPr>
        <w:spacing w:after="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BlankField">
    <w:name w:val="Blank field"/>
    <w:basedOn w:val="Normal"/>
    <w:pPr>
      <w:suppressAutoHyphens/>
      <w:spacing w:after="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harakteristika-dlya-nagrazhdeniya-gramotoy-obrazec</dc:title>
  <dc:creator>AllContract.ru</dc:creator>
  <cp:lastModifiedBy>Un-named</cp:lastModifiedBy>
  <cp:revision>1</cp:revision>
  <dcterms:created xsi:type="dcterms:W3CDTF">2026-09-26T00:11:34.055Z</dcterms:created>
  <dcterms:modified xsi:type="dcterms:W3CDTF">2026-09-26T00:11:34.055Z</dcterms:modified>
</cp:coreProperties>
</file>

<file path=docProps/custom.xml><?xml version="1.0" encoding="utf-8"?>
<Properties xmlns="http://schemas.openxmlformats.org/officeDocument/2006/custom-properties" xmlns:vt="http://schemas.openxmlformats.org/officeDocument/2006/docPropsVTypes"/>
</file>