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УТВЕРЖДАЮ</w:t>
      </w:r>
    </w:p>
    <w:p>
      <w:pPr>
        <w:spacing w:after="120"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Директор ООО «Вектор»</w:t>
      </w:r>
    </w:p>
    <w:p>
      <w:pPr>
        <w:spacing w:after="120"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______________ / Морозов А.Г. /</w:t>
      </w:r>
    </w:p>
    <w:p>
      <w:pPr>
        <w:spacing w:after="120"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«5» июня 2026 г.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 w:before="240"/>
        <w:jc w:val="center"/>
      </w:pPr>
      <w:r>
        <w:rPr>
          <w:rFonts w:ascii="Cambria" w:cs="Cambria" w:eastAsia="Cambria" w:hAnsi="Cambria"/>
          <w:b/>
          <w:bCs/>
          <w:sz w:val="28"/>
          <w:szCs w:val="28"/>
        </w:rPr>
        <w:t xml:space="preserve">АКТ</w:t>
      </w:r>
    </w:p>
    <w:p>
      <w:pPr>
        <w:spacing w:after="120"/>
        <w:jc w:val="center"/>
      </w:pPr>
      <w:r>
        <w:rPr>
          <w:rFonts w:ascii="Calibri" w:cs="Calibri" w:eastAsia="Calibri" w:hAnsi="Calibri"/>
          <w:sz w:val="22"/>
          <w:szCs w:val="22"/>
        </w:rPr>
        <w:t xml:space="preserve">о списании товарно-материальных ценностей</w:t>
      </w:r>
    </w:p>
    <w:p>
      <w:pPr>
        <w:spacing w:after="120"/>
        <w:jc w:val="center"/>
      </w:pPr>
      <w:r>
        <w:rPr>
          <w:rFonts w:ascii="Calibri" w:cs="Calibri" w:eastAsia="Calibri" w:hAnsi="Calibri"/>
          <w:sz w:val="22"/>
          <w:szCs w:val="22"/>
        </w:rPr>
        <w:t xml:space="preserve">№ 14 от «5» июня 2026 г.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1. Сведения об организации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1.1. Наименование организации: Общество с ограниченной ответственностью «Вектор» (ООО «Вектор»).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1.2. ИНН: 5406745210   КПП: 540601001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1.3. Юридический адрес: 630005, г. Новосибирск, ул. Фрунзе, д. 80, офис 312.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1.4. Структурное подразделение: центральный склад.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2. Состав комиссии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Комиссия назначена приказом № 7 от «12» января 2026 г. в составе: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2.1. Председатель комиссии: заместитель директора Ковалёв Игорь Сергеевич.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2.2. Член комиссии: главный бухгалтер Лапина Елена Викторовна.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2.3. Член комиссии: менеджер по закупкам Соколов Павел Андреевич.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2.4. Материально ответственное лицо: заведующий складом Тарасов Дмитрий Николаевич.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3. Основание для списания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3.1. Приказ руководителя № 41 от «4» июня 2026 г.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3.2. Акт инвентаризации (при наличии): —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3.3. Иные документы: докладная записка заведующего складом Тарасова Д.Н. от 01.06.2026.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4. Причины списания (отметить нужное)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☒ моральный износ;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☐ физический износ, поломка, не подлежащая ремонту;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☒ истечение срока годности;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☐ недостача, выявленная при инвентаризации;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☒ порча, бой, лом;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☐ иное: ___________________________________________________________________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5. Перечень списываемых ТМЦ</w:t>
      </w:r>
    </w:p>
    <w:tbl>
      <w:tblPr>
        <w:tblW w:type="pct" w:w="100%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c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№</w:t>
            </w:r>
          </w:p>
        </w:tc>
        <w:tc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Наименование ТМЦ</w:t>
            </w:r>
          </w:p>
        </w:tc>
        <w:tc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Ед. изм.</w:t>
            </w:r>
          </w:p>
        </w:tc>
        <w:tc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Кол-во</w:t>
            </w:r>
          </w:p>
        </w:tc>
        <w:tc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Цена за ед., руб.</w:t>
            </w:r>
          </w:p>
        </w:tc>
        <w:tc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Сумма, руб.</w:t>
            </w:r>
          </w:p>
        </w:tc>
        <w:tc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Причина списания</w:t>
            </w:r>
          </w:p>
        </w:tc>
      </w:tr>
      <w:tr>
        <w:tc>
          <w:p>
            <w:pPr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1</w:t>
            </w:r>
          </w:p>
        </w:tc>
        <w:tc>
          <w:p>
            <w:pPr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Краска водно-дисперсионная интерьерная, банка 10 л</w:t>
            </w:r>
          </w:p>
        </w:tc>
        <w:tc>
          <w:p>
            <w:pPr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шт.</w:t>
            </w:r>
          </w:p>
        </w:tc>
        <w:tc>
          <w:p>
            <w:pPr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12</w:t>
            </w:r>
          </w:p>
        </w:tc>
        <w:tc>
          <w:p>
            <w:pPr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1 850,00</w:t>
            </w:r>
          </w:p>
        </w:tc>
        <w:tc>
          <w:p>
            <w:pPr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22 200,00</w:t>
            </w:r>
          </w:p>
        </w:tc>
        <w:tc>
          <w:p>
            <w:pPr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истечение срока годности (10.05.2026)</w:t>
            </w:r>
          </w:p>
        </w:tc>
      </w:tr>
      <w:tr>
        <w:tc>
          <w:p>
            <w:pPr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2</w:t>
            </w:r>
          </w:p>
        </w:tc>
        <w:tc>
          <w:p>
            <w:pPr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Плитка керамическая глазурованная 300×300 мм</w:t>
            </w:r>
          </w:p>
        </w:tc>
        <w:tc>
          <w:p>
            <w:pPr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кв. м</w:t>
            </w:r>
          </w:p>
        </w:tc>
        <w:tc>
          <w:p>
            <w:pPr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40</w:t>
            </w:r>
          </w:p>
        </w:tc>
        <w:tc>
          <w:p>
            <w:pPr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620,00</w:t>
            </w:r>
          </w:p>
        </w:tc>
        <w:tc>
          <w:p>
            <w:pPr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24 800,00</w:t>
            </w:r>
          </w:p>
        </w:tc>
        <w:tc>
          <w:p>
            <w:pPr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бой при хранении</w:t>
            </w:r>
          </w:p>
        </w:tc>
      </w:tr>
      <w:tr>
        <w:tc>
          <w:p>
            <w:pPr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3</w:t>
            </w:r>
          </w:p>
        </w:tc>
        <w:tc>
          <w:p>
            <w:pPr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Картридж лазерный CF226A</w:t>
            </w:r>
          </w:p>
        </w:tc>
        <w:tc>
          <w:p>
            <w:pPr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шт.</w:t>
            </w:r>
          </w:p>
        </w:tc>
        <w:tc>
          <w:p>
            <w:pPr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3</w:t>
            </w:r>
          </w:p>
        </w:tc>
        <w:tc>
          <w:p>
            <w:pPr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6 400,00</w:t>
            </w:r>
          </w:p>
        </w:tc>
        <w:tc>
          <w:p>
            <w:pPr>
              <w:jc w:val="center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19 200,00</w:t>
            </w:r>
          </w:p>
        </w:tc>
        <w:tc>
          <w:p>
            <w:pPr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моральный износ: парк принтеров заменён</w:t>
            </w:r>
          </w:p>
        </w:tc>
      </w:tr>
      <w:tr>
        <w:tc>
          <w:p>
            <w:pPr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ИТОГО:</w:t>
            </w:r>
          </w:p>
        </w:tc>
        <w:tc>
          <w:p>
            <w:pPr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66 200,00</w:t>
            </w:r>
          </w:p>
        </w:tc>
        <w:tc>
          <w:p>
            <w:pPr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Всего позиций к списанию: 3 шт.   Общая сумма списания: 66 200 руб. 00 коп.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Сумма прописью: Шестьдесят шесть тысяч двести рублей 00 копеек.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6. Заключение комиссии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Комиссия, рассмотрев фактическое состояние перечисленных в п. 5 ценностей, установила: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— дальнейшее использование указанных ТМЦ по назначению невозможно/нецелесообразно;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— ремонт ценностей экономически нецелесообразен либо технически невозможен.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Комиссия постановляет: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6.1. Списать перечисленные ТМЦ с баланса организации.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6.2. Утилизировать списанные ценности силами специализированной организации по договору на вывоз и утилизацию отходов.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6.3. Оприходовать на склад пригодные узлы, детали, материалы на сумму 0 руб. (пригодные остатки отсутствуют).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6.4. Иные рекомендации: усилить контроль сроков годности материалов при приёмке на склад.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7. Подписи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Председатель комиссии: ______________ / Ковалёв И.С. /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Член комиссии: ______________ / Лапина Е.В. /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Член комиссии: ______________ / Соколов П.А. /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Материально ответственное лицо: ______________ / Тарасов Д.Н. /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Дата составления акта: «5» июня 2026 г.</w:t>
      </w:r>
    </w:p>
    <w:sectPr>
      <w:footerReference w:type="default" r:id="rId7"/>
      <w:pgSz w:w="11906" w:h="16838" w:orient="portrait"/>
      <w:pgMar w:top="1134" w:right="850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akt-spisaniya-tmts-obrazec</dc:title>
  <dc:creator>AllContract.ru</dc:creator>
  <cp:lastModifiedBy>Un-named</cp:lastModifiedBy>
  <cp:revision>1</cp:revision>
  <dcterms:created xsi:type="dcterms:W3CDTF">2026-06-10T20:37:21.145Z</dcterms:created>
  <dcterms:modified xsi:type="dcterms:W3CDTF">2026-06-10T20:37:21.145Z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