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40" w:before="240"/>
        <w:jc w:val="center"/>
      </w:pPr>
      <w:r>
        <w:rPr>
          <w:rFonts w:ascii="Cambria" w:cs="Cambria" w:eastAsia="Cambria" w:hAnsi="Cambria"/>
          <w:b/>
          <w:bCs/>
          <w:color w:val="538135"/>
          <w:sz w:val="28"/>
          <w:szCs w:val="28"/>
        </w:rPr>
        <w:t xml:space="preserve">СОГЛАШЕНИЕ О НЕКОНКУРЕНЦИИ (NON-COMPETE)</w:t>
      </w:r>
    </w:p>
    <w:p>
      <w:pPr>
        <w:spacing w:after="240" w:before="120"/>
        <w:jc w:val="center"/>
      </w:pPr>
      <w:r>
        <w:rPr>
          <w:rFonts w:ascii="Cambria" w:cs="Cambria" w:eastAsia="Cambria" w:hAnsi="Cambria"/>
          <w:i/>
          <w:iCs/>
          <w:color w:val="000000"/>
          <w:sz w:val="22"/>
          <w:szCs w:val="22"/>
        </w:rPr>
        <w:t xml:space="preserve">(применяется в B2B-отношениях и корпоративных правоотношениях участников)</w:t>
      </w:r>
    </w:p>
    <w:p>
      <w:pPr>
        <w:tabs>
          <w:tab w:val="right" w:pos="9000"/>
        </w:tabs>
        <w:spacing w:after="120" w:before="120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г. _______________	«___» _____________ 20__ г.</w:t>
      </w:r>
    </w:p>
    <w:p>
      <w:pPr>
        <w:spacing w:after="60" w:before="6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 (наименование организации / ФИО индивидуального предпринимателя), ИНН ____________, ОГРН ____________, в лице ____________________________, действующего на основании ____________________, именуемое в дальнейшем «Сторона 1», с одной стороны, и</w:t>
      </w:r>
    </w:p>
    <w:p>
      <w:pPr>
        <w:spacing w:after="60" w:before="6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_______________________________________________ (наименование организации / ФИО индивидуального предпринимателя / участника общества), ИНН ____________, ОГРН ____________, в лице ____________________________, действующего на основании ____________________, именуемое в дальнейшем «Сторона 2», с другой стороны, совместно именуемые «Стороны», а по отдельности — «Сторона»,</w:t>
      </w:r>
    </w:p>
    <w:p>
      <w:pPr>
        <w:spacing w:after="60" w:before="60"/>
        <w:ind w:firstLine="567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заключили настоящее Соглашение о неконкуренции (далее — «Соглашение») о нижеследующем.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1. Общие положения и сфера применения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1.1. Настоящее Соглашение заключается в рамках гражданско-правовых (B2B) отношений Сторон и/или корпоративных правоотношений участников Общества. Стороны подтверждают, что Соглашение не регулирует трудовые отношения и не ограничивает право какого-либо физического лица на свободу труда, гарантированную статьёй 37 Конституции Российской Федерации и статьёй 2 Трудового кодекса Российской Федерации.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1.2. Стороны действуют как самостоятельные субъекты предпринимательской деятельности и/или как участники Общества при сделках с долями участия. Принятие на себя обязательств по настоящему Соглашению является добровольным и обусловлено получением встречного предоставления в форме компенсации за неконкуренцию.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1.3. Соглашение заключено в соответствии с принципом свободы договора (статья 421 ГК РФ) и направлено на защиту законных коммерческих интересов Стороны 1, включая защиту инвестиций, клиентской базы, ноу-хау и иных нематериальных активов.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2. Термины и определения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 В настоящем Соглашении используются следующие термины: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2.1.1. «Конкурирующая деятельность» — деятельность, аналогичная или схожая с деятельностью Стороны 1, описанная в пункте 3.2 настоящего Соглашения, осуществляемая на Территории в течение Срока ограничения.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2.1.2. «Территория» — географическая область действия ограничений, определённая в пункте 4 настоящего Соглашения.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2.1.3. «Запрещённые действия» — действия Стороны 2, перечисленные в пункте 6 настоящего Соглашения, совершение которых на Территории в течение Срока ограничения признаётся нарушением Соглашения.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2.1.4. «Срок ограничения» — период действия обязательств о неконкуренции, установленный в пункте 5 настоящего Соглашения.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2.1.5. «Компенсация» — денежное вознаграждение, выплачиваемое Стороной 1 Стороне 2 за принятие и соблюдение обязательств о неконкуренции (пункт 8).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2.1.6. «Контрагенты» — клиенты, заказчики, поставщики, партнёры и иные контрагенты Стороны 1, перечисленные в Приложении № 1 к настоящему Соглашению.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3. Предмет Соглашения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3.1. Сторона 2 обязуется в течение Срока ограничения на Территории воздерживаться от осуществления Конкурирующей деятельности и совершения Запрещённых действий, а Сторона 1 обязуется выплатить Стороне 2 Компенсацию в порядке и размере, предусмотренных настоящим Соглашением.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3.2. Конкурирующей деятельностью для целей настоящего Соглашения признаётся: ____________________________________________________________________________ (конкретный вид деятельности: например, «разработка и реализация программных продуктов для управления складской логистикой», «производство и продажа упаковочных материалов для пищевой промышленности» и т. п.).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3.3. Ограничения распространяются на следующие рынки (сегменты): ____________________________________________________________________________ (например, «корпоративные клиенты в сегменте СМБ», «розничные сети федерального уровня»).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3.4. Перечень конкретных Контрагентов Стороны 1, в отношении которых действует ограничение, приведён в Приложении № 1 к настоящему Соглашению, которое является его неотъемлемой частью.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4. Территория действия Соглашения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 Обязательства о неконкуренции действуют на следующей территории: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4.1.1. Города: ____________________________________________________________________________.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4.1.2. Субъекты Российской Федерации (регионы): ____________________________________________________________________________.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4.1.3. Страны: ____________________________________________________________________________.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4.2. Стороны подтверждают, что определённая Территория является разумной и соответствует фактической географии коммерческой деятельности Стороны 1 на дату заключения Соглашения.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5. Срок действия Соглашения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5.1. Соглашение вступает в силу с момента его подписания обеими Сторонами и действует в течение ______ (________________) месяцев / лет, но не более 3 (трёх) лет.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5.2. Стороны признают установленный Срок ограничения разумным с учётом специфики Конкурирующей деятельности, существенности инвестиций Стороны 1 и размера выплачиваемой Компенсации.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5.3. Истечение Срока ограничения автоматически прекращает обязательства Стороны 2 о воздержании от Конкурирующей деятельности.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6. Запрещённые действия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 В течение Срока ограничения на Территории Сторона 2 обязуется не совершать следующие действия (прямо или косвенно, лично или через третьих лиц, в качестве работника, исполнителя, участника, руководителя, бенефициара или иного лица):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6.1.1. осуществлять Конкурирующую деятельность от своего имени или в интересах третьих лиц;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6.1.2. учреждать (создавать), приобретать долю участия более ____% в коммерческих организациях, осуществляющих Конкурирующую деятельность;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6.1.3. занимать должности в органах управления и/или работать по гражданско-правовым договорам в организациях, осуществляющих Конкурирующую деятельность;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6.1.4. привлекать (переманивать) работников Стороны 1, состоявших с ней в трудовых или гражданско-правовых отношениях в течение 12 (двенадцати) месяцев, предшествующих такому привлечению;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6.1.5. привлекать (переманивать) Контрагентов Стороны 1, указанных в Приложении № 1, и/или предлагать им альтернативные продукты/услуги, конкурирующие с продуктами/услугами Стороны 1;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6.1.6. использовать в своей деятельности коммерческие обозначения, доменные имена, фирменные наименования, сходные до степени смешения с теми, что используются Стороной 1.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7. Разрешённые действия и исключения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7.1. Ограничения, установленные пунктом 6 Соглашения, не распространяются на следующие действия Стороны 2: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7.1.1. владение долей менее ____% в уставном (складочном) капитале публичных обществ, акции которых обращаются на организованных торгах, при условии отсутствия фактического контроля и неучастия в управлении такими обществами;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7.1.2. осуществление деятельности в сегментах рынка, прямо не отнесённых к Конкурирующей деятельности по пункту 3.2 и пункту 3.3 настоящего Соглашения;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7.1.3. выполнение обязательств по договорам, заключённым Стороной 2 до даты подписания настоящего Соглашения, при условии письменного уведомления Стороны 1 в течение 10 (десяти) рабочих дней с момента подписания Соглашения;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7.1.4. действия, прямо согласованные со Стороной 1 в письменной форме.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8. Компенсация за неконкуренцию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8.1. За принятие и соблюдение обязательств о неконкуренции Сторона 1 выплачивает Стороне 2 Компенсацию в общем размере ____________ (________________________________) рублей, в том числе НДФЛ / НДС по применимой ставке (если применимо).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8.2. Компенсация выплачивается в следующем порядке (Стороны выбирают один из вариантов):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8.2.1. единовременно — в течение ____ (____________) рабочих дней с даты подписания Соглашения; либо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8.2.2. равными ежемесячными платежами в размере ____________ (________________________________) рублей в течение всего Срока ограничения, не позднее ____ числа каждого календарного месяца.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8.3. Компенсация перечисляется на банковский счёт Стороны 2, указанный в разделе «Реквизиты и подписи Сторон» настоящего Соглашения. Стороны вправе изменить реквизиты письменным уведомлением другой Стороны не позднее чем за 5 (пять) рабочих дней до очередной выплаты.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8.4. Стороны подтверждают, что размер Компенсации согласован ими свободно, является адекватным встречным предоставлением за принятые ограничения и не носит кабального характера.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8.5. Невыплата Компенсации в установленный срок более чем на 30 (тридцать) календарных дней даёт Стороне 2 право в одностороннем порядке отказаться от исполнения обязательств о неконкуренции с письменным уведомлением Стороны 1.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9. Ответственность Сторон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9.1. В случае нарушения Стороной 2 любого из обязательств, предусмотренных пунктом 6 настоящего Соглашения, Сторона 2 обязана уплатить Стороне 1 штраф в размере ____________ (________________________________) рублей, что составляет ориентировочно от 30% до 100% годового дохода Стороны 2 от Конкурирующей деятельности (или иную согласованную Сторонами сумму).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9.2. Дополнительно к штрафу Сторона 2 обязана вернуть Стороне 1 всю полученную Компенсацию, а также возместить документально подтверждённые убытки Стороны 1 в части, не покрытой штрафом (зачётная неустойка).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9.3. В случае нарушения Стороной 1 обязательств по выплате Компенсации Сторона 1 уплачивает Стороне 2 пеню в размере 0,1% от просроченной суммы за каждый день просрочки, но не более 10% от общего размера Компенсации.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9.4. Сторона 1 вправе требовать прекращения нарушения и применения иных способов защиты гражданских прав, предусмотренных статьёй 12 ГК РФ.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10. Разрешение споров и применимое право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10.1. К настоящему Соглашению применяется право Российской Федерации.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10.2. Все споры, разногласия и требования, возникающие из настоящего Соглашения или в связи с ним, Стороны обязуются разрешать путём переговоров с обязательным направлением письменной претензии. Срок ответа на претензию — 30 (тридцать) календарных дней с момента её получения.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10.3. В случае недостижения соглашения споры подлежат рассмотрению (Стороны выбирают один из вариантов):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10.3.1. в Арбитражном суде по месту нахождения ответчика — для споров с участием юридических лиц и индивидуальных предпринимателей;</w:t>
      </w:r>
    </w:p>
    <w:p>
      <w:pPr>
        <w:spacing w:after="40" w:before="40"/>
        <w:ind w:left="567" w:firstLine="283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10.3.2. в Лондонском международном арбитражном суде (LCIA) / Арбитражном институте Торговой палаты Стокгольма (SCC) — для трансграничных сделок M&amp;A с иностранным элементом, в соответствии с регламентом соответствующего арбитражного учреждения.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10.4. Признание судом отдельных положений Соглашения недействительными не влечёт недействительности Соглашения в целом; Стороны обязуются заменить недействительные условия экономически эквивалентными.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11. Заключительные положения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11.1. Соглашение составлено в 2 (двух) экземплярах, имеющих равную юридическую силу, по одному для каждой из Сторон.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11.2. Все изменения и дополнения к Соглашению действительны при условии их совершения в письменной форме и подписания обеими Сторонами.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11.3. Уведомления направляются по адресам, указанным в разделе «Реквизиты и подписи Сторон», и считаются полученными по истечении 5 (пяти) рабочих дней с даты направления заказным письмом с уведомлением о вручении или в день получения, если направлены курьером.</w:t>
      </w:r>
    </w:p>
    <w:p>
      <w:pPr>
        <w:spacing w:after="60" w:before="60"/>
        <w:ind w:left="0" w:firstLine="567"/>
        <w:jc w:val="both"/>
      </w:pPr>
      <w:r>
        <w:rPr>
          <w:rFonts w:ascii="Cambria" w:cs="Cambria" w:eastAsia="Cambria" w:hAnsi="Cambria"/>
          <w:color w:val="000000"/>
          <w:sz w:val="22"/>
          <w:szCs w:val="22"/>
        </w:rPr>
        <w:t xml:space="preserve">11.4. Приложение № 1 «Перечень Контрагентов» является неотъемлемой частью настоящего Соглашения.</w:t>
      </w:r>
    </w:p>
    <w:p>
      <w:pPr>
        <w:spacing w:after="120" w:before="240"/>
      </w:pPr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12. Реквизиты и подписи Сторон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Сторона 1: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Наименование: ____________________________________________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Юридический адрес: ________________________________________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ИНН: ____________________  КПП: 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ОГРН: 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Расчётный счёт: ____________________________________________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Банк: ____________________________________________________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БИК: ____________________  Корр. счёт: 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Телефон: ____________________  E-mail: 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 / ____________________ /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              (подпись)                       (Ф. И. О.)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М. П.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r>
        <w:rPr>
          <w:rFonts w:ascii="Cambria" w:cs="Cambria" w:eastAsia="Cambria" w:hAnsi="Cambria"/>
          <w:b/>
          <w:bCs/>
          <w:color w:val="000000"/>
          <w:sz w:val="22"/>
          <w:szCs w:val="22"/>
        </w:rPr>
        <w:t xml:space="preserve">Сторона 2: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Наименование / Ф. И. О.: ____________________________________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Адрес: ____________________________________________________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ИНН: ____________________  КПП: 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ОГРН / ОГРНИП: 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Паспорт (для физлица): серия ______ № __________, выдан 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Расчётный счёт: ____________________________________________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Банк: ____________________________________________________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БИК: ____________________  Корр. счёт: ____________________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Телефон: ____________________  E-mail: ____________________</w:t>
      </w:r>
    </w:p>
    <w:p>
      <w:r>
        <w:rPr>
          <w:rFonts w:ascii="Cambria" w:cs="Cambria" w:eastAsia="Cambria" w:hAnsi="Cambria"/>
          <w:sz w:val="22"/>
          <w:szCs w:val="22"/>
        </w:rPr>
        <w:t xml:space="preserve"/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_______________________ / ____________________ /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/>
          <w:iCs/>
          <w:color w:val="000000"/>
          <w:sz w:val="22"/>
          <w:szCs w:val="22"/>
        </w:rPr>
        <w:t xml:space="preserve">              (подпись)                       (Ф. И. О.)</w:t>
      </w:r>
    </w:p>
    <w:p>
      <w:pPr>
        <w:spacing w:after="60" w:before="60"/>
        <w:jc w:val="both"/>
      </w:pPr>
      <w:r>
        <w:rPr>
          <w:rFonts w:ascii="Cambria" w:cs="Cambria" w:eastAsia="Cambria" w:hAnsi="Cambria"/>
          <w:b w:val="false"/>
          <w:bCs w:val="false"/>
          <w:i w:val="false"/>
          <w:iCs w:val="false"/>
          <w:color w:val="000000"/>
          <w:sz w:val="22"/>
          <w:szCs w:val="22"/>
        </w:rPr>
        <w:t xml:space="preserve">М. П.</w:t>
      </w:r>
    </w:p>
    <w:sectPr>
      <w:pgSz w:w="11906" w:h="16838" w:orient="portrait"/>
      <w:pgMar w:top="1134" w:right="1134" w:bottom="1134" w:left="141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cs="Cambria" w:eastAsia="Cambria" w:hAnsi="Cambria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2026-05-13T15:10:44.243Z</dcterms:created>
  <dcterms:modified xsi:type="dcterms:W3CDTF">2026-05-13T15:10:44.243Z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