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Cambria" w:hAnsi="Cambria"/>
          <w:b/>
          <w:sz w:val="28"/>
        </w:rPr>
        <w:t>ДОГОВОР ИНВЕСТИРОВАНИЯ № 1</w:t>
      </w:r>
    </w:p>
    <w:p>
      <w:pPr>
        <w:spacing w:after="160"/>
      </w:pPr>
      <w:r>
        <w:rPr>
          <w:rFonts w:ascii="Calibri" w:hAnsi="Calibri"/>
          <w:b w:val="0"/>
          <w:sz w:val="22"/>
        </w:rPr>
        <w:t>г. Москва</w:t>
      </w:r>
      <w:r>
        <w:rPr>
          <w:rFonts w:ascii="Calibri" w:hAnsi="Calibri"/>
          <w:b w:val="0"/>
          <w:sz w:val="22"/>
        </w:rPr>
        <w:tab/>
        <w:tab/>
        <w:tab/>
        <w:tab/>
        <w:tab/>
      </w:r>
      <w:r>
        <w:rPr>
          <w:rFonts w:ascii="Calibri" w:hAnsi="Calibri"/>
          <w:b w:val="0"/>
          <w:sz w:val="22"/>
        </w:rPr>
        <w:t>5 июня 2026 г.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Соколов Андрей Викторович, паспорт 45 17 № 234567, выдан ОВД района Хамовники г. Москвы 12.03.2017, зарегистрированный по адресу: г. Москва, ул. Усачёва, д. 11, кв. 28, именуемый в дальнейшем «Инвестор», с одной стороны, и Общество с ограниченной ответственностью «Вектор Рост» (ООО «Вектор Рост»), ИНН 7723456789, ОГРН 1187746012345, в лице генерального директора Лебедева Игоря Анатольевича, действующего на основании Устава, именуемое в дальнейшем «Получатель инвестиций», с другой стороны, совместно именуемые «Стороны», заключили настоящий Договор о нижеследующем.</w:t>
      </w:r>
    </w:p>
    <w:p>
      <w:pPr>
        <w:spacing w:before="200" w:after="80"/>
      </w:pPr>
      <w:r>
        <w:rPr>
          <w:rFonts w:ascii="Cambria" w:hAnsi="Cambria"/>
          <w:b/>
          <w:sz w:val="24"/>
        </w:rPr>
        <w:t>1. Предмет договора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1.1. Инвестор передаёт Получателю инвестиций денежные средства в размере 3 000 000 (Три миллиона) рублей 00 копеек (далее — инвестиции) для реализации инвестиционного проекта — открытия и запуска кофейни под коммерческим обозначением «Тёплый угол» по адресу: г. Москва, ул. Лесная, д. 5, пом. 12 (далее — Проект).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1.2. Целевое назначение инвестиций: ремонт и отделка помещения, приобретение оборудования (кофемашины, холодильного оборудования, мебели), формирование первоначального товарного запаса и оборотных средств на первые три месяца работы Проекта.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1.3. Срок реализации (запуска) Проекта — не позднее 5 декабря 2026 г.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1.4. Договор не является договором займа: доход Инвестора поставлен в зависимость от результатов Проекта, и Инвестор разделяет коммерческий риск Проекта в пределах, установленных настоящим Договором (ст. 2 Федерального закона от 25.02.1999 № 39-ФЗ).</w:t>
      </w:r>
    </w:p>
    <w:p>
      <w:pPr>
        <w:spacing w:before="200" w:after="80"/>
      </w:pPr>
      <w:r>
        <w:rPr>
          <w:rFonts w:ascii="Cambria" w:hAnsi="Cambria"/>
          <w:b/>
          <w:sz w:val="24"/>
        </w:rPr>
        <w:t>2. Размер и порядок передачи инвестиций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2.1. Инвестиции предоставляются в денежной форме единовременным платежом.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2.2. Инвестор перечисляет инвестиции на расчётный счёт Получателя инвестиций в течение 5 (пяти) рабочих дней с даты подписания Договора. В назначении платежа указывается: «Инвестиции по договору инвестирования № 1 от 05.06.2026, НДС не облагается».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2.3. Моментом предоставления инвестиций считается дата зачисления денежных средств на расчётный счёт Получателя инвестиций.</w:t>
      </w:r>
    </w:p>
    <w:p>
      <w:pPr>
        <w:spacing w:before="200" w:after="80"/>
      </w:pPr>
      <w:r>
        <w:rPr>
          <w:rFonts w:ascii="Cambria" w:hAnsi="Cambria"/>
          <w:b/>
          <w:sz w:val="24"/>
        </w:rPr>
        <w:t>3. Доход инвестора и возврат инвестиций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3.1. За предоставленные инвестиции Получатель инвестиций выплачивает Инвестору доход в размере 30% (тридцати процентов) чистой прибыли Проекта ежеквартально в течение 4 (четырёх) лет с даты запуска Проекта, но не менее чем до выплаты Инвестору суммы, равной 200% размера инвестиций, — 6 000 000 (Шесть миллионов) рублей 00 копеек.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3.2. Чистая прибыль Проекта определяется как выручка Проекта за отчётный квартал за вычетом себестоимости, арендных, коммунальных, налоговых и иных документально подтверждённых расходов, относящихся к Проекту. Косвенные расходы Получателя инвестиций, не связанные с Проектом, в расчёт не принимаются.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3.3. Выплата дохода производится в безналичном порядке до 20-го числа месяца, следующего за отчётным кварталом, на основании отчёта по п. 5.1 Договора.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3.4. Получатель инвестиций не гарантирует возврат инвестиций при недостижении Проектом прибыли по причинам обычного предпринимательского риска. Гарантии и обеспечение действуют в случаях, прямо предусмотренных разделами 4 и 7 Договора.</w:t>
      </w:r>
    </w:p>
    <w:p>
      <w:pPr>
        <w:spacing w:before="200" w:after="80"/>
      </w:pPr>
      <w:r>
        <w:rPr>
          <w:rFonts w:ascii="Cambria" w:hAnsi="Cambria"/>
          <w:b/>
          <w:sz w:val="24"/>
        </w:rPr>
        <w:t>4. Обеспечение исполнения обязательств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4.1. Исполнение обязательств Получателя инвестиций обеспечивается залогом оборудования, приобретаемого для Проекта за счёт инвестиций. Перечень оборудования и его оценочная стоимость фиксируются в Приложении № 1 к Договору после его приобретения.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4.2. При нецелевом использовании инвестиций (п. 1.2) Инвестор вправе потребовать досрочного возврата всей суммы инвестиций и обратить взыскание на предмет залога.</w:t>
      </w:r>
    </w:p>
    <w:p>
      <w:pPr>
        <w:spacing w:before="200" w:after="80"/>
      </w:pPr>
      <w:r>
        <w:rPr>
          <w:rFonts w:ascii="Cambria" w:hAnsi="Cambria"/>
          <w:b/>
          <w:sz w:val="24"/>
        </w:rPr>
        <w:t>5. Контроль использования инвестиций и отчётность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5.1. Получатель инвестиций предоставляет Инвестору ежеквартальный отчёт об использовании инвестиций и о финансовых результатах Проекта до 15-го числа месяца, следующего за отчётным кварталом.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5.2. Инвестор вправе знакомиться с бухгалтерской и управленческой отчётностью Проекта, а также за свой счёт привлекать аудитора для проверки достоверности отчётности.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5.3. Сделки Проекта на сумму свыше 300 000 (Трёхсот тысяч) рублей Получатель инвестиций согласовывает с Инвестором в письменной форме.</w:t>
      </w:r>
    </w:p>
    <w:p>
      <w:pPr>
        <w:spacing w:before="200" w:after="80"/>
      </w:pPr>
      <w:r>
        <w:rPr>
          <w:rFonts w:ascii="Cambria" w:hAnsi="Cambria"/>
          <w:b/>
          <w:sz w:val="24"/>
        </w:rPr>
        <w:t>6. Права и обязанности сторон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6.1. Получатель инвестиций обязан использовать инвестиции строго по целевому назначению, обеспечить запуск Проекта в срок по п. 1.3, вести обособленный учёт операций Проекта и своевременно выплачивать доход Инвестору.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6.2. Инвестор обязан своевременно предоставить инвестиции и вправе осуществлять контроль в порядке раздела 5 Договора, не вмешиваясь в текущую хозяйственную деятельность Получателя инвестиций.</w:t>
      </w:r>
    </w:p>
    <w:p>
      <w:pPr>
        <w:spacing w:before="200" w:after="80"/>
      </w:pPr>
      <w:r>
        <w:rPr>
          <w:rFonts w:ascii="Cambria" w:hAnsi="Cambria"/>
          <w:b/>
          <w:sz w:val="24"/>
        </w:rPr>
        <w:t>7. Ответственность сторон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7.1. За нарушение срока возврата инвестиций или выплаты дохода Получатель инвестиций уплачивает Инвестору неустойку в размере 0,1% от просроченной суммы за каждый день просрочки.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7.2. Инвестор несёт риск утраты инвестиций в части, не покрытой обеспечением, в пределах обычного предпринимательского риска Проекта (ст. 2 Федерального закона от 25.02.1999 № 39-ФЗ).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7.3. За нецелевое использование инвестиций Получатель инвестиций уплачивает Инвестору штраф в размере 10% от суммы нецелевого использования сверх обязанности по возврату.</w:t>
      </w:r>
    </w:p>
    <w:p>
      <w:pPr>
        <w:spacing w:before="200" w:after="80"/>
      </w:pPr>
      <w:r>
        <w:rPr>
          <w:rFonts w:ascii="Cambria" w:hAnsi="Cambria"/>
          <w:b/>
          <w:sz w:val="24"/>
        </w:rPr>
        <w:t>8. Срок действия договора и разрешение споров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8.1. Договор вступает в силу с даты подписания и действует до полного исполнения Сторонами обязательств.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8.2. Споры, не урегулированные путём переговоров, передаются на рассмотрение суда по месту нахождения Получателя инвестиций с соблюдением обязательного претензионного порядка (срок ответа на претензию — 15 календарных дней).</w:t>
      </w:r>
    </w:p>
    <w:p>
      <w:pPr>
        <w:spacing w:after="80"/>
        <w:jc w:val="both"/>
      </w:pPr>
      <w:r>
        <w:rPr>
          <w:rFonts w:ascii="Calibri" w:hAnsi="Calibri"/>
          <w:b w:val="0"/>
          <w:sz w:val="22"/>
        </w:rPr>
        <w:t>8.3. Договор составлен в двух экземплярах, имеющих равную юридическую силу, по одному для каждой Стороны.</w:t>
      </w:r>
    </w:p>
    <w:p>
      <w:pPr>
        <w:spacing w:before="200" w:after="80"/>
      </w:pPr>
      <w:r>
        <w:rPr>
          <w:rFonts w:ascii="Cambria" w:hAnsi="Cambria"/>
          <w:b/>
          <w:sz w:val="24"/>
        </w:rPr>
        <w:t>9. Реквизиты и подписи сторон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40"/>
            </w:pPr>
            <w:r/>
            <w:r>
              <w:rPr>
                <w:rFonts w:ascii="Calibri" w:hAnsi="Calibri"/>
                <w:b/>
                <w:sz w:val="20"/>
              </w:rPr>
              <w:t>Инвестор</w:t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  <w:t>Соколов Андрей Викторович</w:t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  <w:t>паспорт 45 17 № 234567</w:t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  <w:t>адрес: г. Москва, ул. Усачёва, д. 11, кв. 28</w:t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  <w:t>_______________ / А. В. Соколов /</w:t>
            </w:r>
          </w:p>
        </w:tc>
        <w:tc>
          <w:tcPr>
            <w:tcW w:type="dxa" w:w="4320"/>
          </w:tcPr>
          <w:p>
            <w:pPr>
              <w:spacing w:after="40"/>
            </w:pPr>
            <w:r/>
            <w:r>
              <w:rPr>
                <w:rFonts w:ascii="Calibri" w:hAnsi="Calibri"/>
                <w:b/>
                <w:sz w:val="20"/>
              </w:rPr>
              <w:t>Получатель инвестиций</w:t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  <w:t>ООО «Вектор Рост»</w:t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  <w:t>ИНН 7723456789, ОГРН 1187746012345</w:t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  <w:t>115280, г. Москва, ул. Лесная, д. 5</w:t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  <w:t>_______________ / И. А. Лебедев /</w:t>
            </w:r>
          </w:p>
          <w:p>
            <w:pPr>
              <w:spacing w:after="40"/>
            </w:pPr>
            <w:r>
              <w:rPr>
                <w:rFonts w:ascii="Calibri" w:hAnsi="Calibri"/>
                <w:b w:val="0"/>
                <w:sz w:val="20"/>
              </w:rPr>
              <w:t>м.п.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sz w:val="18"/>
      </w:rPr>
      <w:t xml:space="preserve">Страница </w:t>
    </w:r>
    <w:fldSimple w:instr="PAGE">
      <w:r>
        <w:t>1</w:t>
      </w:r>
    </w:fldSimple>
    <w:r>
      <w:rPr>
        <w:rFonts w:ascii="Calibri" w:hAnsi="Calibri"/>
        <w:b w:val="0"/>
        <w:sz w:val="18"/>
      </w:rPr>
      <w:t xml:space="preserve"> из </w:t>
    </w:r>
    <w:fldSimple w:instr="NUMPAGES">
      <w: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